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岳阳市道路运输服务中心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部门（单位）整体支出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岳阳市道路运输服务中心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市道路运输服务中心</w:t>
      </w:r>
      <w:r>
        <w:rPr>
          <w:rFonts w:hint="eastAsia" w:ascii="仿宋_GB2312" w:hAnsi="仿宋_GB2312" w:eastAsia="仿宋_GB2312" w:cs="仿宋_GB2312"/>
          <w:sz w:val="32"/>
          <w:szCs w:val="40"/>
        </w:rPr>
        <w:t>核定全额拔款事业编制90名。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经费渠道为财政全额拨款。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单位现实有在编人员8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40"/>
        </w:rPr>
        <w:t>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023年度招录公开招聘人员2人，招录四海揽才人员6人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核定领导职数6名，设主任（副处级）1名，党委副职（正科级）5名（其中党委专职副书记1名）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内设机构副科级领导职数11名（含党委办主任1名）；分支机构正科级领导职数3名、副科级领导职数6名。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numPr>
          <w:ilvl w:val="0"/>
          <w:numId w:val="0"/>
        </w:numPr>
        <w:snapToGrid w:val="0"/>
        <w:spacing w:line="520" w:lineRule="exact"/>
        <w:ind w:left="840" w:leftChars="0" w:firstLine="0" w:firstLineChars="0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kern w:val="0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总体情况：2023年度部门支出数为1507.43万元，其中工资福利支出总数为1216.08万元，占总支出的80.6%；商品和服务支出总数为151.12万元，占总支出的10.2%；对个人和家庭的补助总数为106.22万元，占总支出的7.0%；资本性支出总数为34万元，占总支出的2.2%。</w:t>
      </w:r>
    </w:p>
    <w:p>
      <w:pPr>
        <w:numPr>
          <w:ilvl w:val="0"/>
          <w:numId w:val="0"/>
        </w:numPr>
        <w:snapToGrid w:val="0"/>
        <w:spacing w:line="520" w:lineRule="exact"/>
        <w:ind w:left="840" w:leftChars="0" w:firstLine="0" w:firstLineChars="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仿宋_GB2312" w:hAnsi="仿宋" w:eastAsia="仿宋_GB2312"/>
          <w:b w:val="0"/>
          <w:bCs/>
          <w:sz w:val="32"/>
          <w:szCs w:val="32"/>
          <w:lang w:val="en-US" w:eastAsia="zh-CN"/>
        </w:rPr>
        <w:t>（2）</w:t>
      </w:r>
      <w:r>
        <w:rPr>
          <w:rFonts w:hint="eastAsia" w:ascii="仿宋_GB2312" w:hAnsi="仿宋" w:eastAsia="仿宋_GB2312"/>
          <w:sz w:val="32"/>
          <w:szCs w:val="32"/>
        </w:rPr>
        <w:t>“三公”经费支出情况：“三公”经费财政拨款支出预算为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25.18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支出为2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.51</w:t>
      </w:r>
      <w:r>
        <w:rPr>
          <w:rFonts w:hint="eastAsia" w:ascii="仿宋_GB2312" w:hAnsi="仿宋" w:eastAsia="仿宋_GB2312"/>
          <w:sz w:val="32"/>
          <w:szCs w:val="32"/>
        </w:rPr>
        <w:t>万元，完成预算的100%，其中：公务用车运行维护费支出预算为2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.08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支出为2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0.83</w:t>
      </w:r>
      <w:r>
        <w:rPr>
          <w:rFonts w:hint="eastAsia" w:ascii="仿宋_GB2312" w:hAnsi="仿宋" w:eastAsia="仿宋_GB2312"/>
          <w:sz w:val="32"/>
          <w:szCs w:val="32"/>
        </w:rPr>
        <w:t>万元，完成预算的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0%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公务接待费支出预算为0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.43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支出为0.4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万元，完成预算的100%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项目支出总数为22万元，分别为地方铁路安全监管专项14万元，非税收入直接征收成本8万元。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部门年度完成</w:t>
      </w:r>
      <w:r>
        <w:rPr>
          <w:rFonts w:hint="eastAsia" w:ascii="仿宋_GB2312" w:hAnsi="仿宋" w:eastAsia="仿宋_GB2312"/>
          <w:sz w:val="32"/>
          <w:szCs w:val="32"/>
        </w:rPr>
        <w:t>一级项目和二级项目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绩效目标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，完成产出指标的数量指标值，客运、货运业务办理完成率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95%，完成地方铁路1450万吨货运量，完成从业人员2000人的培训；达成效益指标的经济效益，减税降费达到100万元。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黑体"/>
          <w:color w:val="000000"/>
          <w:kern w:val="0"/>
          <w:sz w:val="32"/>
          <w:szCs w:val="32"/>
          <w:lang w:val="en-US" w:eastAsia="zh-CN" w:bidi="ar-SA"/>
        </w:rPr>
        <w:t>无政府性基金预算支出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黑体"/>
          <w:color w:val="000000"/>
          <w:kern w:val="0"/>
          <w:sz w:val="32"/>
          <w:szCs w:val="32"/>
          <w:lang w:val="en-US" w:eastAsia="zh-CN" w:bidi="ar-SA"/>
        </w:rPr>
        <w:t xml:space="preserve"> 无</w:t>
      </w:r>
      <w:r>
        <w:rPr>
          <w:rFonts w:hint="default" w:ascii="仿宋_GB2312" w:hAnsi="仿宋" w:eastAsia="仿宋_GB2312" w:cs="黑体"/>
          <w:color w:val="000000"/>
          <w:kern w:val="0"/>
          <w:sz w:val="32"/>
          <w:szCs w:val="32"/>
          <w:lang w:val="en-US" w:eastAsia="zh-CN" w:bidi="ar-SA"/>
        </w:rPr>
        <w:t>国有资本经营预算支出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社会保险基金预算支出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ind w:firstLine="960" w:firstLineChars="300"/>
        <w:rPr>
          <w:rFonts w:hint="eastAsia" w:eastAsia="仿宋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我中心较好地完成了202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设定的工作任务，各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得到有序开展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坚持服务至上理念，推进运输结构调整,服务运输经济发展，</w:t>
      </w:r>
      <w:r>
        <w:rPr>
          <w:rFonts w:hint="eastAsia" w:ascii="仿宋" w:hAnsi="仿宋" w:eastAsia="仿宋"/>
          <w:sz w:val="32"/>
          <w:szCs w:val="32"/>
          <w:lang w:eastAsia="zh-CN"/>
        </w:rPr>
        <w:t>主要事业成效如下：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引导和支持客运站综合开发，鼓励和规范定制客运发展，全市开通线路9条、车辆118辆。</w:t>
      </w:r>
      <w:r>
        <w:rPr>
          <w:rFonts w:hint="eastAsia" w:ascii="仿宋" w:hAnsi="仿宋" w:eastAsia="仿宋" w:cs="仿宋"/>
          <w:sz w:val="32"/>
          <w:szCs w:val="32"/>
          <w:lang w:bidi="ar"/>
        </w:rPr>
        <w:t>碳达峰碳中和稳步推进，新上纯电网约车9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39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台，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是</w:t>
      </w:r>
      <w:r>
        <w:rPr>
          <w:rFonts w:hint="eastAsia" w:ascii="仿宋" w:hAnsi="仿宋" w:eastAsia="仿宋" w:cs="仿宋"/>
          <w:sz w:val="32"/>
          <w:szCs w:val="32"/>
          <w:lang w:bidi="ar"/>
        </w:rPr>
        <w:t>2022 年底的 8倍多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  <w:lang w:bidi="ar"/>
        </w:rPr>
        <w:t>全市 90 台出租车完成“油换电”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办理出租车注册、注销服务监督卡3256张，续牌办理道路运输证228台。客运车辆年审513台次，审核换领旅游客运包车牌1.25万张;完成普货年审4448台，危货审验788台，办理电子运单19.78万条。举办客、危、出租车从业资格培训班32期，完成培训3171人，考核合格2435人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解决中心城区“两客一危”企业日常巡查查摆隐患问题98个，整改98个，警示约谈企业负责人11次，安全巡查覆盖率100%，对全市14家涉铁企业32个道口开展“隐患清零”专项检查9次，整治铁路沿线安全隐患308处。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开展使得区域内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经济效益、社会效益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得以提升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，到年底完成全部项目的100%，资金拨付达到90%，完成项目验收率达到100%。区域内的铁路运输得到保障，为区域内经济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创造了条件，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为当地带来较为良好的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生态效益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影响当地经济发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社会公众的满意度非常高。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缺乏明确的绩效评价指标，难以量化和细化，评价标准过于抽象，不易理解和执行；缺乏有效的预算执行监督机制。原因一是没有加强预算执行监督，提高财务透明度，二是没有简化绩效管理流程，没有优化跨部门协作，财务管理的信息化水平有待提高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进一步促进和完善财务管理制度及内部控制，加强预算管理、严格预算执行，严格按照财政预算标准支付各项费用。加强日常</w:t>
      </w:r>
      <w:r>
        <w:rPr>
          <w:rFonts w:hint="eastAsia" w:eastAsia="仿宋" w:cs="仿宋"/>
          <w:sz w:val="32"/>
          <w:szCs w:val="32"/>
          <w:lang w:eastAsia="zh-CN"/>
        </w:rPr>
        <w:t>铁路监管</w:t>
      </w:r>
      <w:r>
        <w:rPr>
          <w:rFonts w:hint="eastAsia" w:ascii="仿宋" w:hAnsi="仿宋" w:eastAsia="仿宋" w:cs="仿宋"/>
          <w:sz w:val="32"/>
          <w:szCs w:val="32"/>
        </w:rPr>
        <w:t>的巡查力度，稳步提升</w:t>
      </w:r>
      <w:r>
        <w:rPr>
          <w:rFonts w:hint="eastAsia" w:eastAsia="仿宋" w:cs="仿宋"/>
          <w:sz w:val="32"/>
          <w:szCs w:val="32"/>
          <w:lang w:eastAsia="zh-CN"/>
        </w:rPr>
        <w:t>铁路交通运力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eastAsia="仿宋" w:cs="仿宋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年本单位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年初工作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计划与目标管理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，围绕市委、市政府以及省局的工作部署，积极履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，强化管理，较好地完成了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年工作目标，同时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严格执行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管理，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完善内控制度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，提升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单位整体支出效率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。在规定时限内对202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年部门整体支出绩效自评报告在岳阳市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交通运输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局门户网站进行公开。</w:t>
      </w:r>
    </w:p>
    <w:p>
      <w:pPr>
        <w:spacing w:line="560" w:lineRule="exact"/>
        <w:ind w:firstLine="640" w:firstLineChars="200"/>
        <w:rPr>
          <w:rFonts w:hint="eastAsia" w:eastAsia="仿宋" w:cs="仿宋"/>
          <w:sz w:val="32"/>
          <w:szCs w:val="32"/>
          <w:lang w:eastAsia="zh-CN"/>
        </w:rPr>
      </w:pPr>
      <w:r>
        <w:rPr>
          <w:rFonts w:hint="eastAsia" w:eastAsia="仿宋" w:cs="仿宋"/>
          <w:sz w:val="32"/>
          <w:szCs w:val="32"/>
          <w:lang w:eastAsia="zh-CN"/>
        </w:rPr>
        <w:t>报告需要以下附件:</w:t>
      </w:r>
    </w:p>
    <w:p>
      <w:pPr>
        <w:numPr>
          <w:ilvl w:val="0"/>
          <w:numId w:val="6"/>
        </w:numPr>
        <w:spacing w:line="560" w:lineRule="exact"/>
        <w:ind w:firstLine="640" w:firstLineChars="200"/>
        <w:rPr>
          <w:rFonts w:hint="eastAsia" w:eastAsia="仿宋" w:cs="仿宋"/>
          <w:sz w:val="32"/>
          <w:szCs w:val="32"/>
          <w:lang w:eastAsia="zh-CN"/>
        </w:rPr>
      </w:pPr>
      <w:r>
        <w:rPr>
          <w:rFonts w:hint="eastAsia" w:eastAsia="仿宋" w:cs="仿宋"/>
          <w:sz w:val="32"/>
          <w:szCs w:val="32"/>
          <w:lang w:eastAsia="zh-CN"/>
        </w:rPr>
        <w:t>部门整体支出绩效评价基础数据表</w:t>
      </w:r>
    </w:p>
    <w:p>
      <w:pPr>
        <w:numPr>
          <w:ilvl w:val="0"/>
          <w:numId w:val="6"/>
        </w:numPr>
        <w:spacing w:line="560" w:lineRule="exact"/>
        <w:ind w:firstLine="640" w:firstLineChars="200"/>
        <w:rPr>
          <w:rFonts w:hint="eastAsia" w:eastAsia="仿宋" w:cs="仿宋"/>
          <w:sz w:val="32"/>
          <w:szCs w:val="32"/>
          <w:lang w:eastAsia="zh-CN"/>
        </w:rPr>
      </w:pPr>
      <w:r>
        <w:rPr>
          <w:rFonts w:hint="eastAsia" w:eastAsia="仿宋" w:cs="仿宋"/>
          <w:sz w:val="32"/>
          <w:szCs w:val="32"/>
          <w:lang w:eastAsia="zh-CN"/>
        </w:rPr>
        <w:t>部门整体支出绩效自评表</w:t>
      </w:r>
    </w:p>
    <w:p>
      <w:pPr>
        <w:numPr>
          <w:ilvl w:val="0"/>
          <w:numId w:val="6"/>
        </w:numPr>
        <w:spacing w:line="560" w:lineRule="exact"/>
        <w:ind w:firstLine="640" w:firstLineChars="200"/>
        <w:rPr>
          <w:rFonts w:hint="eastAsia" w:eastAsia="仿宋" w:cs="仿宋"/>
          <w:sz w:val="32"/>
          <w:szCs w:val="32"/>
          <w:lang w:eastAsia="zh-CN"/>
        </w:rPr>
      </w:pPr>
      <w:r>
        <w:rPr>
          <w:rFonts w:hint="eastAsia" w:eastAsia="仿宋" w:cs="仿宋"/>
          <w:sz w:val="32"/>
          <w:szCs w:val="32"/>
          <w:lang w:eastAsia="zh-CN"/>
        </w:rPr>
        <w:t>项目支出绩效自评表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96280" cy="3679190"/>
            <wp:effectExtent l="0" t="0" r="13970" b="1651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r>
        <w:br w:type="page"/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49315" cy="3429000"/>
            <wp:effectExtent l="0" t="0" r="13335" b="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13730" cy="3910965"/>
            <wp:effectExtent l="0" t="0" r="1270" b="1333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41035" cy="3818890"/>
            <wp:effectExtent l="0" t="0" r="12065" b="1016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1035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A59DE"/>
    <w:multiLevelType w:val="singleLevel"/>
    <w:tmpl w:val="877A59D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0EC6967"/>
    <w:multiLevelType w:val="singleLevel"/>
    <w:tmpl w:val="90EC69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4A13B8"/>
    <w:multiLevelType w:val="singleLevel"/>
    <w:tmpl w:val="E44A13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251FBCE"/>
    <w:multiLevelType w:val="singleLevel"/>
    <w:tmpl w:val="F251FB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79A2A67"/>
    <w:multiLevelType w:val="singleLevel"/>
    <w:tmpl w:val="579A2A6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F994676"/>
    <w:multiLevelType w:val="singleLevel"/>
    <w:tmpl w:val="5F9946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GFkMDMyYjJlMTAzMmJlNzRlMjFjYzM1ZGE5YWUifQ=="/>
  </w:docVars>
  <w:rsids>
    <w:rsidRoot w:val="389728E6"/>
    <w:rsid w:val="1B086F77"/>
    <w:rsid w:val="281D62A2"/>
    <w:rsid w:val="389728E6"/>
    <w:rsid w:val="3F4F55FF"/>
    <w:rsid w:val="45197BC9"/>
    <w:rsid w:val="59F55223"/>
    <w:rsid w:val="60DA4050"/>
    <w:rsid w:val="62E6391C"/>
    <w:rsid w:val="7C6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2024-06-26T02:12:00Z</dcterms:created>
  <dc:creator>张萌</dc:creator>
  <cp:lastModifiedBy>张萌</cp:lastModifiedBy>
  <dcterms:modified xsi:type="dcterms:W3CDTF">2024-09-26T07:44:40Z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C1CAF80A579642F5AC6593A9DDA7BA33_13</vt:lpwstr>
  </property>
</Properties>
</file>