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val="0"/>
          <w:bCs/>
          <w:kern w:val="0"/>
          <w:sz w:val="44"/>
          <w:szCs w:val="44"/>
          <w:lang w:eastAsia="zh-CN" w:bidi="en-US"/>
        </w:rPr>
      </w:pPr>
      <w:r>
        <w:rPr>
          <w:rFonts w:hint="eastAsia" w:ascii="方正小标宋_GBK" w:hAnsi="方正小标宋_GBK" w:eastAsia="方正小标宋_GBK" w:cs="方正小标宋_GBK"/>
          <w:b w:val="0"/>
          <w:bCs/>
          <w:kern w:val="0"/>
          <w:sz w:val="44"/>
          <w:szCs w:val="44"/>
          <w:lang w:eastAsia="zh-CN" w:bidi="en-US"/>
        </w:rPr>
        <w:t>岳麓山种业创新中心洞庭湖区域中心</w:t>
      </w:r>
    </w:p>
    <w:p>
      <w:pPr>
        <w:jc w:val="center"/>
        <w:rPr>
          <w:rFonts w:hint="eastAsia" w:ascii="方正小标宋_GBK" w:hAnsi="方正小标宋_GBK" w:eastAsia="方正小标宋_GBK" w:cs="方正小标宋_GBK"/>
          <w:b w:val="0"/>
          <w:bCs/>
          <w:kern w:val="0"/>
          <w:sz w:val="44"/>
          <w:szCs w:val="44"/>
          <w:lang w:eastAsia="zh-CN" w:bidi="en-US"/>
        </w:rPr>
      </w:pPr>
      <w:r>
        <w:rPr>
          <w:rFonts w:hint="eastAsia" w:ascii="方正小标宋_GBK" w:hAnsi="方正小标宋_GBK" w:eastAsia="方正小标宋_GBK" w:cs="方正小标宋_GBK"/>
          <w:b w:val="0"/>
          <w:bCs/>
          <w:kern w:val="0"/>
          <w:sz w:val="44"/>
          <w:szCs w:val="44"/>
          <w:lang w:eastAsia="zh-CN" w:bidi="en-US"/>
        </w:rPr>
        <w:t>（岳阳分中心）2024年度种业科技创新”</w:t>
      </w:r>
    </w:p>
    <w:p>
      <w:pPr>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kern w:val="0"/>
          <w:sz w:val="44"/>
          <w:szCs w:val="44"/>
          <w:lang w:eastAsia="zh-CN" w:bidi="en-US"/>
        </w:rPr>
        <w:t>项目</w:t>
      </w:r>
      <w:r>
        <w:rPr>
          <w:rFonts w:hint="eastAsia" w:ascii="方正小标宋_GBK" w:hAnsi="方正小标宋_GBK" w:eastAsia="方正小标宋_GBK" w:cs="方正小标宋_GBK"/>
          <w:b w:val="0"/>
          <w:bCs/>
          <w:sz w:val="44"/>
          <w:szCs w:val="44"/>
        </w:rPr>
        <w:t>支出绩效自评报告</w:t>
      </w:r>
    </w:p>
    <w:p>
      <w:pPr>
        <w:pStyle w:val="5"/>
        <w:rPr>
          <w:rFonts w:hint="eastAsia" w:ascii="黑体" w:hAnsi="黑体" w:eastAsia="黑体" w:cs="黑体"/>
          <w:b/>
          <w:bCs/>
        </w:rPr>
      </w:pPr>
    </w:p>
    <w:p>
      <w:pPr>
        <w:pStyle w:val="5"/>
        <w:rPr>
          <w:rFonts w:hint="eastAsia" w:ascii="黑体" w:hAnsi="黑体" w:eastAsia="黑体" w:cs="黑体"/>
          <w:b/>
          <w:bCs/>
          <w:sz w:val="32"/>
          <w:szCs w:val="32"/>
        </w:rPr>
      </w:pPr>
      <w:r>
        <w:rPr>
          <w:rFonts w:hint="eastAsia" w:ascii="黑体" w:hAnsi="黑体" w:eastAsia="黑体" w:cs="黑体"/>
          <w:b/>
          <w:bCs/>
          <w:sz w:val="32"/>
          <w:szCs w:val="32"/>
        </w:rPr>
        <w:t>一、项目实施情况分析</w:t>
      </w:r>
    </w:p>
    <w:p>
      <w:pPr>
        <w:adjustRightInd w:val="0"/>
        <w:snapToGrid w:val="0"/>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（一）专项概况</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国以农为本，农以种为先。种业是国家战略性、基础性核心产业，是促进农业长期稳定发展，保障国家粮食安全的根本。为深入贯彻2022年中央一号文件对全面实施种业振兴行动的文件精神，奋力实现省委省政府“三高四新”美好蓝图，着力构建与省域副中心城市相匹配的科技发展体系，推动岳阳市种业融入岳麓山实验室体系。2022年，岳阳市科技局、岳阳市农业科学研究院抢抓机遇，积极谋划，在与常德、益阳的竞争中，率先提交了洞庭湖区域中心（岳阳分中心）组建方案，经岳麓山种业创新中心组织专家评审通过并经湖南省科技厅备案，确定在我市建立洞庭湖区域中心（岳阳分中心）。同年9月26日，市政府第8次常务会议审定通过《岳阳市人民政府 岳麓山种业创新中心战略合作协议》。同年9月28日，岳阳市人民政府与岳麓山种业创新中心战略合作签约仪式暨岳麓山种业创新中心洞庭湖区域中心（岳阳分中心）授牌仪式在岳阳隆重举行。岳麓山种业创新中心洞庭湖区域中心（岳阳分中心）成功落户岳阳，在市农科院挂牌成立。</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洞庭湖区域中心（岳阳分中心）以岳麓山种业创新中心 “2+8”矩阵式研发架构和院士专家团队为支撑，集成种业领域优势创新平台、人才团队、技术成果转化优势，紧紧围绕洞庭湖区域现代农业产业高质量发展的战略需求，全面推进岳阳种业创新资源聚集，提高种业创新水平，加速种业科技创新和成果转化。</w:t>
      </w:r>
    </w:p>
    <w:p>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洞庭湖区域中心（岳阳分中心）为岳麓山种业创新中心重点规划的成果转化推广四大核心区域中心之一，由岳阳市农业科学研究院作为举办单位，联合相关的高校、科研院所和重点农业企业开展种源“卡脖子”技术攻关，转化示范推广农作物、园艺林产、畜禽水产新品种和良种良法新技术。探索和积累以种业成果转化为核心、推进现代农业高质量发展和乡村全面面振兴的新体制、新机制、新模式、新途径，为岳阳及洞庭湖区域现代农业的发展提供强有力的科技支撑。</w:t>
      </w:r>
    </w:p>
    <w:p>
      <w:pPr>
        <w:adjustRightInd w:val="0"/>
        <w:snapToGrid w:val="0"/>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（二）组织管理与绩效目标分解情况</w:t>
      </w:r>
    </w:p>
    <w:p>
      <w:pPr>
        <w:pStyle w:val="17"/>
        <w:keepNext w:val="0"/>
        <w:keepLines w:val="0"/>
        <w:pageBreakBefore w:val="0"/>
        <w:kinsoku/>
        <w:wordWrap/>
        <w:overflowPunct/>
        <w:topLinePunct w:val="0"/>
        <w:autoSpaceDE/>
        <w:autoSpaceDN/>
        <w:bidi w:val="0"/>
        <w:adjustRightInd/>
        <w:spacing w:line="360" w:lineRule="auto"/>
        <w:ind w:firstLine="560"/>
        <w:jc w:val="left"/>
        <w:textAlignment w:val="auto"/>
        <w:rPr>
          <w:rFonts w:hint="eastAsia" w:ascii="宋体" w:hAnsi="宋体" w:cs="宋体"/>
          <w:color w:val="000000"/>
          <w:kern w:val="0"/>
          <w:sz w:val="28"/>
          <w:szCs w:val="28"/>
          <w:lang w:val="en-US" w:eastAsia="zh-CN" w:bidi="ar-SA"/>
        </w:rPr>
      </w:pPr>
      <w:r>
        <w:rPr>
          <w:rFonts w:hint="eastAsia" w:ascii="仿宋" w:hAnsi="仿宋" w:eastAsia="仿宋" w:cs="仿宋"/>
          <w:kern w:val="2"/>
          <w:sz w:val="32"/>
          <w:szCs w:val="32"/>
          <w:lang w:val="en-US" w:eastAsia="zh-CN" w:bidi="ar-SA"/>
        </w:rPr>
        <w:t>岳阳市农业农村局2024年5月17日对市农科院下发《关于岳麓山种业创新中心洞庭湖</w:t>
      </w:r>
      <w:r>
        <w:rPr>
          <w:rFonts w:hint="eastAsia" w:ascii="仿宋" w:hAnsi="仿宋" w:eastAsia="仿宋" w:cs="仿宋"/>
          <w:kern w:val="2"/>
          <w:sz w:val="32"/>
          <w:szCs w:val="32"/>
          <w:lang w:val="en-US" w:eastAsia="zh-CN" w:bidi="ar-SA"/>
        </w:rPr>
        <w:tab/>
        <w:t>区域中心2024年度工作计划与经费预算方案的批复》明确各科技专项的研究内容和项目目标</w:t>
      </w:r>
      <w:bookmarkStart w:id="0" w:name="_GoBack"/>
      <w:bookmarkEnd w:id="0"/>
      <w:r>
        <w:rPr>
          <w:rFonts w:hint="eastAsia" w:ascii="仿宋" w:hAnsi="仿宋" w:eastAsia="仿宋" w:cs="仿宋"/>
          <w:kern w:val="2"/>
          <w:sz w:val="32"/>
          <w:szCs w:val="32"/>
          <w:lang w:val="en-US" w:eastAsia="zh-CN" w:bidi="ar-SA"/>
        </w:rPr>
        <w:t xml:space="preserve">，其中：   </w:t>
      </w:r>
      <w:r>
        <w:rPr>
          <w:rFonts w:hint="eastAsia" w:ascii="宋体" w:hAnsi="宋体" w:eastAsia="宋体" w:cs="宋体"/>
          <w:color w:val="000000"/>
          <w:kern w:val="0"/>
          <w:sz w:val="28"/>
          <w:szCs w:val="28"/>
          <w:lang w:val="en-US" w:eastAsia="zh-CN" w:bidi="ar-SA"/>
        </w:rPr>
        <w:t xml:space="preserve">          </w:t>
      </w:r>
      <w:r>
        <w:rPr>
          <w:rFonts w:hint="eastAsia" w:ascii="宋体" w:hAnsi="宋体" w:cs="宋体"/>
          <w:color w:val="000000"/>
          <w:kern w:val="0"/>
          <w:sz w:val="28"/>
          <w:szCs w:val="28"/>
          <w:lang w:val="en-US" w:eastAsia="zh-CN" w:bidi="ar-SA"/>
        </w:rPr>
        <w:t xml:space="preserve">    </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1、子项目名称:优异农作物种质资源收集、测试与保护。</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收集水稻、甘蓝型油菜、中国南瓜、柴苏等新品种有性繁殖种质资源700份；收集莲、睡莲、山药等新品种无性繁殖种质资源150份；建设完成农作物新品种有性繁殖种质资源中期保存库发电机房，保障其正常运行。</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收集水稻、中国南瓜、柴苏等新品种有性繁殖种质资源200份，并进行DUS测试；收集莲、睡莲、山药等新品种无性繁殖种质资源45份，并进行DUS测试；对已收集的5份甘蓝型油菜进行DUS测试；建设完成农作物新品种有性繁殖种质资源中期保存库发电机房。</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项目单位：农业农村部植物新品种测试岳阳分中心。</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2、子项目名称：水稻镉低积累亲本创制、绿色优质品种选育与成果转化。</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2个品种通过审定，其中一个品种具有镉低积累特征，经省级鉴定，精米镉含量低于0.2mg/kg的国家限制性标准；一个品种米质达部优三级以上标准，产量不低于同熟期对照，中感或中抗稻瘟病；1个低镉不育系定型稳定进入配组；申请2项国家植物新品种保护，获得申请号；完成1项品种权科技成果转化。</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1个优质不育系通过省级鉴定；6个品种组合晋级区试续试和生产试验，2个品种推荐审定；完成4个基地的试验和鉴定任务；申报2项国家植物新品种保护；新创制亲本签订定向改良委托协议并交付改良；开展新品种展示示范，完成1个组合的品种权转让。</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项目单位：岳阳市农业科学研究院水稻所、华智生物技术有限公司、创世纪种业有限公司。</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3、子项目名称：茶树种质资源开发利用与茶园高效栽培技术。</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研究目标（三年）：鉴定和评价茶树种质资源20份；扩繁适制黄茶茶树品种一个；集成配套茶园高效栽培管理技术1项；培训茶叶技术人100人次；发表相关学术论文2篇。</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收集岳阳地区主要种种植茶树品种名单，做好适制黄茶茶树良种、群体种、野生茶树品种、特异性种质资源收集和初步评价相关工作，鉴定和评价茶树种质资源10份；开展不同茶树品种之间的加工对比试验，为筛选适制黄茶茶树品种，开发与利用优良种质资源打下基础，并完成1篇相关学术论文；通过前期调研并结合现有技术参数，开展茶园高效栽培管理技术试验，初步形成茶园高效栽培管理技术实施方案。</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项目单位：岳阳市农业科学研究院茶叶研究中心、湖南省农科院茶叶研究所、湖南远山茶叶、华容县长工茶叶专业合作社。</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4、子项目名称：澳洲淡水龙虾工厂化繁育及推广。</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研究目标（三年）：实现澳洲淡水龙亲本来源、繁殖与养殖本地化。</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研究内容：开展亲本选择、暂养及培育，亲本配对交配，孵化技术，水质调控、温度调控，虾苗标粗及成虾池塘养殖技术研究。亲本本地化率达到70%以上，亲本入池后全程死淘率低于20%, 一繁抱卵率达到70%, 二繁抱卵率达到50%以上，年累计出苗率达到80%, 平均每尾母虾出苗量在180尾以上，年供应苗种50万尾，推广池塘养殖面积100亩以上，成虾平均量达到280斤/亩。发表论文1篇，申请相关专利1项。</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项目单位：岳阳市农业科学研究院水产研究所、湖南李子泉农业科技有限公司。</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5、子项目名称：鲜食芥菜品种资源收集、评价与创新应用。</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研究目标（三年）：累计收集种质资源50份；评价示范鲜食芥菜品种20个；选育1个适合洞庭湖生态区的高产优质鲜食芥菜品种；申请1项国家植物新品种保 护；形成关于《洞庭湖生态区鲜食芥菜栽培技术规范》,技术示范或形成地方标准；建设一个鲜食芥菜基地，辐射华容、君山、石首地区。</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完成收集芥菜种质资源20个；1-2个试验示范点鉴定鲜食芥菜品种资源，鉴定出1个以上优质鲜食芥菜品种并开始杂交组合；初步合作打造鲜食芥菜基地；形成《洞庭湖生态区鲜食芥菜栽培技术规范》初稿；形成1篇芥菜相关研究论文。</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项目单位：岳阳市农业科学研究院蔬菜研究所、湖南洞庭明珠有限公司。</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6、子项目名称：芦笋种质资源鉴定评价及育种技术创新研究。</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筛选适宜长江中下游地区生产的芦笋品种3-5个；建立芦笋超雄株快速鉴定方法；创制芦笋全雄育种中间新材料1-2份；建立芦笋组织快繁技术体系；申请植物新品种保护权1项；发表学术论文3-4篇；申请发明专利1-2项。</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开展芦笋资源圃二期35个品种的农艺性状调查，完成所有品种的农艺性状数据分析，进行统计鉴定;根据不同功能目标开展2024年度芦笋杂交授粉，并完成收种、标记工作;开展两性株F1代测交授粉，并完成收种、标记及播种工作；获得芦笋性别基因分子标记， 并取样验证；发表学术论文1篇。</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项目单位：岳阳市农业科学研究院经济作物研究所、湖南哺哺生态农业科技发展有限公司。</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7、子项目名称：滨湖水牛种质资源保护及开发利用。</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研究目标（三年）：完成150头能繁母牛、6个家系种公牛20头群体的保种；完成150头母牛、20头公牛的性能测定；完成滨湖水牛种群的基因测序。</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研究内容：建设滨湖水牛保护群，包括母牛150头，6个不同国家系公牛12头档案及系谱。</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项目单位：岳阳市农业科学研究院畜牧研究所。</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8、子项目名称：早熟、优质晚稻新种质创制与新品种选育。</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研究目标（三年）：创制早熟水稻新种质10-15份；培育早熟优质亲本3-4个，其中不育系1-2个，恢复系2-3个；选育早熟、优质水稻组合 5-7个，争取国(省)审品种1-2个，米质达到国标二级以上；申请植物新品种保护1-2 项 ；建立百亩示范片1-2个。</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研究内容：早熟、优质水稻种质资源收集、鉴定、评价与创制80份；引进早熟不育系和香型恢复系进行组合培育；建好品比试验田、展示示范田。</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项目单位：湖南鑫盛华丰种业科技有限公司、湖南省水稻研究所。</w:t>
      </w:r>
    </w:p>
    <w:p>
      <w:pPr>
        <w:keepNext w:val="0"/>
        <w:keepLines w:val="0"/>
        <w:pageBreakBefore w:val="0"/>
        <w:kinsoku/>
        <w:wordWrap/>
        <w:overflowPunct/>
        <w:topLinePunct w:val="0"/>
        <w:autoSpaceDE/>
        <w:autoSpaceDN/>
        <w:bidi w:val="0"/>
        <w:adjustRightInd/>
        <w:spacing w:line="360" w:lineRule="auto"/>
        <w:ind w:firstLine="643" w:firstLineChars="200"/>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9、子项目名称：新品种新技术的推广和示范。</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目标（三年）：实现新品种呈两优607农业农村部超级稻认定，打造本地首个亩产过吨粮品种。通过稻稻油、稻稻牧轮作模式，实现两季水稻综合产量达900公斤/亩以上，油菜产量达150公斤/亩以上，牧草产量达1-2000公斤/亩以上，力争三季轮作帮助农户达到单亩收益5-7000元的目标；挖掘推广符合洞庭湖区域的优质高产型杂交水稻30万亩；累计实现新组合的审定 3-5个，省市主导推广品种数量3-5个。</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研究内容：完成呈两优607的高产裁培试验数据统计和整理，申报农业农村部超级稻的认定，形成呈两优607高产栽培技术一部；完成稻稻油试验研究，对生育期、播期、抗性、产量、米质等进行数据收集和总结分析，形成农户种植产值意见，制定详细的栽培技术方案两部，开展指导农民进行生产种植；通过君山基地的甄选试验，选出5-10个更适合洞庭湖区域的优势组合。</w:t>
      </w:r>
    </w:p>
    <w:p>
      <w:pPr>
        <w:keepNext w:val="0"/>
        <w:keepLines w:val="0"/>
        <w:pageBreakBefore w:val="0"/>
        <w:kinsoku/>
        <w:wordWrap/>
        <w:overflowPunct/>
        <w:topLinePunct w:val="0"/>
        <w:autoSpaceDE/>
        <w:autoSpaceDN/>
        <w:bidi w:val="0"/>
        <w:adjustRightInd/>
        <w:spacing w:line="360" w:lineRule="auto"/>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项目单位：湖南洞庭高科种业股份有限公司、湖南省植物保护研究所。</w:t>
      </w:r>
    </w:p>
    <w:p>
      <w:pPr>
        <w:adjustRightInd w:val="0"/>
        <w:snapToGrid w:val="0"/>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（三）项目拨付、使用情况</w:t>
      </w:r>
    </w:p>
    <w:p>
      <w:pPr>
        <w:pStyle w:val="18"/>
        <w:snapToGrid w:val="0"/>
        <w:spacing w:line="360" w:lineRule="auto"/>
        <w:ind w:firstLine="600" w:firstLineChars="200"/>
        <w:jc w:val="both"/>
        <w:textAlignment w:val="baseline"/>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cs="仿宋"/>
          <w:color w:val="auto"/>
          <w:kern w:val="2"/>
          <w:sz w:val="32"/>
          <w:szCs w:val="32"/>
          <w:lang w:val="en-US" w:eastAsia="zh-CN" w:bidi="ar-SA"/>
        </w:rPr>
        <w:t>2024年1月1日至2024年12月31日期间，项目专项经费共支出545.39万元。其中：2024年度专项资金经费支出358.28万元，已支付358.28万元；2023年度运行及科研经费支出117.83万元，已支付117.83万元；2024年度运行及科研经费支出69.28万元，已支付69.28万元。</w:t>
      </w:r>
    </w:p>
    <w:p>
      <w:pPr>
        <w:pStyle w:val="5"/>
        <w:rPr>
          <w:rFonts w:hint="eastAsia" w:ascii="黑体" w:hAnsi="黑体" w:eastAsia="黑体" w:cs="黑体"/>
          <w:b/>
          <w:bCs/>
          <w:sz w:val="32"/>
          <w:szCs w:val="32"/>
        </w:rPr>
      </w:pPr>
      <w:r>
        <w:rPr>
          <w:rFonts w:hint="eastAsia" w:ascii="黑体" w:hAnsi="黑体" w:eastAsia="黑体" w:cs="黑体"/>
          <w:b/>
          <w:bCs/>
          <w:sz w:val="32"/>
          <w:szCs w:val="32"/>
        </w:rPr>
        <w:t>二、绩效目标完成情况分析</w:t>
      </w:r>
    </w:p>
    <w:p>
      <w:pPr>
        <w:adjustRightInd w:val="0"/>
        <w:snapToGrid w:val="0"/>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（一）资金投入情况分析。</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按照岳阳市农业科学研究院财务管理制度》关于项目资金管理的相关条款，明确资金支出由试验站长和依托单位财务负责人双控管理，做到围绕目标，合理安排，规范管理，专项专用。财务部每季度对项目资金使用情况进行检查监督，并请湖南金信会计师事务所有限公司进行了专项审计，并出具审计报告。  </w:t>
      </w:r>
    </w:p>
    <w:p>
      <w:pPr>
        <w:pStyle w:val="5"/>
        <w:numPr>
          <w:ilvl w:val="0"/>
          <w:numId w:val="1"/>
        </w:numPr>
        <w:ind w:firstLine="450" w:firstLineChars="150"/>
        <w:rPr>
          <w:rFonts w:hint="eastAsia" w:ascii="仿宋" w:hAnsi="仿宋" w:eastAsia="仿宋"/>
          <w:sz w:val="30"/>
          <w:szCs w:val="30"/>
        </w:rPr>
      </w:pPr>
      <w:r>
        <w:rPr>
          <w:rFonts w:hint="eastAsia" w:ascii="仿宋" w:hAnsi="仿宋" w:eastAsia="仿宋"/>
          <w:sz w:val="30"/>
          <w:szCs w:val="30"/>
        </w:rPr>
        <w:t>绩效目标完成情况分析。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sz w:val="30"/>
          <w:szCs w:val="30"/>
        </w:rPr>
      </w:pPr>
      <w:r>
        <w:rPr>
          <w:rFonts w:hint="eastAsia" w:ascii="仿宋" w:hAnsi="仿宋" w:eastAsia="仿宋" w:cs="仿宋"/>
          <w:color w:val="auto"/>
          <w:kern w:val="2"/>
          <w:sz w:val="32"/>
          <w:szCs w:val="32"/>
          <w:lang w:val="en-US" w:eastAsia="zh-CN" w:bidi="ar-SA"/>
        </w:rPr>
        <w:t>根据《</w:t>
      </w:r>
      <w:r>
        <w:rPr>
          <w:rFonts w:hint="eastAsia" w:ascii="仿宋_GB2312" w:hAnsi="仿宋_GB2312" w:eastAsia="仿宋_GB2312" w:cs="仿宋_GB2312"/>
          <w:sz w:val="32"/>
          <w:szCs w:val="32"/>
          <w:highlight w:val="none"/>
        </w:rPr>
        <w:t>项目支出绩效自评表</w:t>
      </w:r>
      <w:r>
        <w:rPr>
          <w:rFonts w:hint="eastAsia" w:ascii="仿宋" w:hAnsi="仿宋" w:eastAsia="仿宋" w:cs="仿宋"/>
          <w:color w:val="auto"/>
          <w:kern w:val="2"/>
          <w:sz w:val="32"/>
          <w:szCs w:val="32"/>
          <w:lang w:val="en-US" w:eastAsia="zh-CN" w:bidi="ar-SA"/>
        </w:rPr>
        <w:t>》自评分100分（详见附表3），</w:t>
      </w:r>
      <w:r>
        <w:rPr>
          <w:rFonts w:hint="eastAsia" w:ascii="仿宋_GB2312" w:hAnsi="仿宋_GB2312" w:eastAsia="仿宋_GB2312" w:cs="仿宋_GB2312"/>
          <w:sz w:val="32"/>
          <w:szCs w:val="32"/>
          <w:highlight w:val="none"/>
        </w:rPr>
        <w:t>项目</w:t>
      </w:r>
      <w:r>
        <w:rPr>
          <w:rFonts w:hint="eastAsia" w:ascii="仿宋" w:hAnsi="仿宋" w:eastAsia="仿宋" w:cs="仿宋"/>
          <w:color w:val="auto"/>
          <w:kern w:val="2"/>
          <w:sz w:val="32"/>
          <w:szCs w:val="32"/>
          <w:lang w:val="en-US" w:eastAsia="zh-CN" w:bidi="ar-SA"/>
        </w:rPr>
        <w:t>支出绩效为“优”。</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1、子项目名称:优异农作物种质资源收集、测试与保护</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收集种质资源，对植物新品种特异性、一致性和稳定性测试(简称DUS测试)，可以为植物新品种保护、品种审定以及品种登记提供技术支撑和理论依据。该项目今年收集种质资源255份，DUS测试新品种种质资源259份，建设完成种质资源库备用发电机房1座及其设备安装，申报发明专利1项。</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2、子项目名称：水稻镉低积累亲本创制、绿色优质品种选育与成果转化</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从镉低积累亲本创制、优质杂交水稻新组合选配、繁殖制种技术研究、优质不育系恢复系攻关，以选育镉低积累水稻品种、绿色优质水稻组合为主要目标，实现种业成果的有效转化。该项目现已完成优质不育系、恢复系选育和优良组合选配，镉低积累亲本创制，完成低镉不育系回交、低镉恢复系系选和低镉品系比较。今年参加并完成国家和湖南省区试，拟推荐审定的水稻新品种有3个，分别是；低镉晚稻品种岳州玉占，绿色优质水稻品种君玉优湘占、君玉优985。全年申报获批植物新品种保护3个；获得植物新品种权1个，实现成果转化1项，市农科院选育的水稻新品种“川种优464”实现技术转让100万元。</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3、子项目名称：茶树种质资源开发利用与茶园高效栽培技术</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加强对茶树种质资源的收集、鉴定，做好不同品种之间的生产加工对比试验，筛选出适合岳阳地区种植、适制性好、品质优、抗性强的茶树品种；同时开展茶园高效栽培管理技术研究与示范，制定针对性的绿色优质高效栽培技术。该项目现已初步摸清15种岳阳茶树种质资源相关情况，累计引进收集茶树种质资源38份，联合主办了“2024年岳阳黄茶加工审评培训班”等多项培训，开展重点试验示范“茶园生物酵素肥试验”1项，发表论文2篇。</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4、子项目名称：澳洲淡水龙虾工厂化繁育及推广</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开展种虾培育、水质调控技术研究、抱卵孵化与离体孵化相结合的技术研究，提高亲虾的成活率、交配成功率以及受精卵孵化率，同时开展池塘虾苗标粗技术和池塘养殖技术研究与推广。有效解决澳洲淡水龙虾本地化亲本和苗种的供应，形成可复制推广的工厂化繁育及池塘养殖技术。该项目已完成年度育苗工作，繁育澳洲淡水龙虾虾苗55万尾，“五八苗”苗种5万尾，示范推广澳洲淡水龙虾池塘养殖面积110亩，池塘养殖平均产量为293斤/亩，最高达到346斤/亩，全年发表论文2篇，申请专利2项。</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5、子项目名称：鲜食芥菜品种资源收集、评价与创新应用</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全国范围大规模收集鲜食芥菜种质资源，评价鉴定出优良鲜食芥菜品种资源，并基于优良鲜食芥菜种质资源选育出适宜洞庭湖生态区种植的优良鲜食芥菜品种；打造高标准鲜食芥菜示范基地，加快鲜食芥菜的推广应用。该项目全年已收集芥菜种质资源42份，征集育种家芥菜材料85份，开展120份收集的芥菜种质资源鉴定整理评价，组织220多人召开了“全国芥菜新品种展示暨产业高质量发展高峰论坛”，制定了华容大叶芥菜绿色高效栽培技术规程1项。</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6、子项目名称：芦笋种质资源鉴定评价及育种技术创新研究</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研究芦笋种质资源创新与利用技术，芦笋分子标记辅助选育技术，开发优质、高产和多抗优良特色芦笋新品种，构建我省芦笋资源创新、品种改良和产业化应用科技示范基地。该项目已开展芦笋资源农艺性状调查35份，得到芦笋新品种选育性别分离F1代种子材料，开发完成了1组分型较好的标记，构建芦笋超雄株鉴别方法，发表论文1篇。</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7、子项目名称：滨湖水牛种质资源保护及开发利用</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通过建设管理滨湖水牛保种群、并进行性能测定、疫病防治与饲养技术优化，有利于保护珍贵滨湖水牛遗传资源。该项目目前开展了滨湖水牛250多头的调研与种质鉴定，参与筹建滨湖水牛保种基地。</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8、子项目名称：早熟、优质晚稻新种质创制与新品种选育</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利用杂交、诱变和分子技术等手段创制新的种质资源，重点开展早熟、优质、育性等优异基因的利用，通过杂交、回交等方法，完成早熟、优质水稻新品种选育。该项目全年完成83份种质资源收集，鉴定整理评价资源30份，鉴定材料10份，测交10对，申报国家（省级）区域试验水稻新品种9个，完成两用核不育系“璐S”的省级现场鉴定，申请国家植物新品种权保护1个，发表论文1篇，“高配合力两系杂交稻骨干亲本深08S及其系列组合选育与应用”获得湖南省科技进步二等奖1项。</w:t>
      </w:r>
    </w:p>
    <w:p>
      <w:pPr>
        <w:pStyle w:val="5"/>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9、子项目名称：新品种新技术的推广和示范</w:t>
      </w:r>
    </w:p>
    <w:p>
      <w:pPr>
        <w:pStyle w:val="5"/>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实施情况：本项目利用常规育种技术与生物技术相结合的手段，开展稻-稻-油三熟制高产生产技术研究、高产攻关技术试验。同时开展新品种的示范种植展示和研究试验，甄选更加符合洞庭湖区域种植栽培的优质杂交水稻。今年已开展水稻新品种高产攻关示范，每亩产量976.9公斤/亩，达到超级稻的标准和要求；并制定水稻“呈两优607”高产栽培技术规程1项；已开展稻-稻-油三熟制高产的栽培模式试验示范，目前已经完成两季水稻收割，两季亩产共900公斤，预计三季轮作亩产值将增收1000元以上；组织新品种规模化展示15场，约3000人次参加了现场观摩和技术交流，推广高产优质新品种种植10多万亩；水稻新品种“檀优耘刚占”1个。</w:t>
      </w:r>
    </w:p>
    <w:p>
      <w:pPr>
        <w:pStyle w:val="5"/>
        <w:rPr>
          <w:rFonts w:ascii="仿宋" w:hAnsi="仿宋" w:eastAsia="仿宋"/>
          <w:b/>
          <w:sz w:val="30"/>
          <w:szCs w:val="30"/>
        </w:rPr>
      </w:pPr>
      <w:r>
        <w:rPr>
          <w:rFonts w:hint="eastAsia" w:ascii="仿宋" w:hAnsi="仿宋" w:eastAsia="仿宋"/>
          <w:b/>
          <w:sz w:val="30"/>
          <w:szCs w:val="30"/>
        </w:rPr>
        <w:t>三、绩效自评结果拟应用和公开情况</w:t>
      </w:r>
    </w:p>
    <w:p>
      <w:pPr>
        <w:pStyle w:val="5"/>
        <w:rPr>
          <w:rFonts w:hint="eastAsia" w:ascii="仿宋" w:hAnsi="仿宋" w:eastAsia="仿宋" w:cs="仿宋"/>
          <w:color w:val="auto"/>
          <w:kern w:val="2"/>
          <w:sz w:val="32"/>
          <w:szCs w:val="32"/>
          <w:lang w:val="en-US" w:eastAsia="zh-CN" w:bidi="ar-SA"/>
        </w:rPr>
      </w:pPr>
      <w:r>
        <w:rPr>
          <w:rFonts w:hint="eastAsia" w:ascii="仿宋" w:hAnsi="仿宋" w:eastAsia="仿宋"/>
          <w:b/>
          <w:sz w:val="30"/>
          <w:szCs w:val="30"/>
        </w:rPr>
        <w:t xml:space="preserve">    </w:t>
      </w:r>
      <w:r>
        <w:rPr>
          <w:rFonts w:hint="eastAsia" w:ascii="仿宋" w:hAnsi="仿宋" w:eastAsia="仿宋" w:cs="仿宋"/>
          <w:color w:val="auto"/>
          <w:kern w:val="2"/>
          <w:sz w:val="32"/>
          <w:szCs w:val="32"/>
          <w:lang w:val="en-US" w:eastAsia="zh-CN" w:bidi="ar-SA"/>
        </w:rPr>
        <w:t>本项目绩效自评结果可公开，形成的阶段性成功和技术可以在实际生长推广应用。</w:t>
      </w:r>
    </w:p>
    <w:p>
      <w:pPr>
        <w:spacing w:line="540" w:lineRule="exact"/>
        <w:rPr>
          <w:rFonts w:ascii="仿宋" w:hAnsi="仿宋" w:eastAsia="仿宋"/>
          <w:b/>
          <w:sz w:val="30"/>
          <w:szCs w:val="30"/>
        </w:rPr>
      </w:pPr>
      <w:r>
        <w:rPr>
          <w:rFonts w:hint="eastAsia" w:ascii="仿宋" w:hAnsi="仿宋" w:eastAsia="仿宋"/>
          <w:b/>
          <w:sz w:val="30"/>
          <w:szCs w:val="30"/>
          <w:lang w:eastAsia="zh-CN"/>
        </w:rPr>
        <w:t>四</w:t>
      </w:r>
      <w:r>
        <w:rPr>
          <w:rFonts w:hint="eastAsia" w:ascii="仿宋" w:hAnsi="仿宋" w:eastAsia="仿宋"/>
          <w:b/>
          <w:sz w:val="30"/>
          <w:szCs w:val="30"/>
        </w:rPr>
        <w:t>、其他需要说明的问题</w:t>
      </w:r>
    </w:p>
    <w:p>
      <w:pPr>
        <w:pStyle w:val="5"/>
        <w:rPr>
          <w:rFonts w:hint="eastAsia" w:ascii="仿宋" w:hAnsi="仿宋" w:eastAsia="仿宋" w:cs="仿宋"/>
          <w:color w:val="auto"/>
          <w:kern w:val="2"/>
          <w:sz w:val="32"/>
          <w:szCs w:val="32"/>
          <w:lang w:val="en-US" w:eastAsia="zh-CN" w:bidi="ar-SA"/>
        </w:rPr>
      </w:pPr>
      <w:r>
        <w:rPr>
          <w:rFonts w:hint="eastAsia" w:ascii="仿宋" w:hAnsi="仿宋" w:eastAsia="仿宋"/>
          <w:b/>
          <w:sz w:val="30"/>
          <w:szCs w:val="30"/>
        </w:rPr>
        <w:t xml:space="preserve">    </w:t>
      </w:r>
      <w:r>
        <w:rPr>
          <w:rFonts w:hint="eastAsia" w:ascii="仿宋" w:hAnsi="仿宋" w:eastAsia="仿宋" w:cs="仿宋"/>
          <w:color w:val="auto"/>
          <w:kern w:val="2"/>
          <w:sz w:val="32"/>
          <w:szCs w:val="32"/>
          <w:lang w:val="en-US" w:eastAsia="zh-CN" w:bidi="ar-SA"/>
        </w:rPr>
        <w:t>各级审计和监督机构未发现本项目存在需要另外解释、说明的问题。</w:t>
      </w:r>
    </w:p>
    <w:p>
      <w:pPr>
        <w:rPr>
          <w:rFonts w:eastAsia="华文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10" w:usb3="00000000" w:csb0="0004009F" w:csb1="00000000"/>
  </w:font>
  <w:font w:name="方正小标宋_GBK">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3B6A8D"/>
    <w:multiLevelType w:val="singleLevel"/>
    <w:tmpl w:val="703B6A8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C31B84"/>
    <w:rsid w:val="0000348A"/>
    <w:rsid w:val="000346E2"/>
    <w:rsid w:val="00055710"/>
    <w:rsid w:val="000742AF"/>
    <w:rsid w:val="00074833"/>
    <w:rsid w:val="000A6136"/>
    <w:rsid w:val="000E6253"/>
    <w:rsid w:val="00121B14"/>
    <w:rsid w:val="00141B8D"/>
    <w:rsid w:val="00150B7B"/>
    <w:rsid w:val="00154819"/>
    <w:rsid w:val="00172F38"/>
    <w:rsid w:val="00174C59"/>
    <w:rsid w:val="00193146"/>
    <w:rsid w:val="001935FD"/>
    <w:rsid w:val="001B6BE3"/>
    <w:rsid w:val="0020523E"/>
    <w:rsid w:val="0020799A"/>
    <w:rsid w:val="0021442C"/>
    <w:rsid w:val="00217C7D"/>
    <w:rsid w:val="00273B0E"/>
    <w:rsid w:val="002C26F5"/>
    <w:rsid w:val="0030040F"/>
    <w:rsid w:val="00300C61"/>
    <w:rsid w:val="00301BF0"/>
    <w:rsid w:val="0036689E"/>
    <w:rsid w:val="003776E6"/>
    <w:rsid w:val="00384615"/>
    <w:rsid w:val="003B197B"/>
    <w:rsid w:val="00442711"/>
    <w:rsid w:val="004E2F80"/>
    <w:rsid w:val="004E476E"/>
    <w:rsid w:val="004E4995"/>
    <w:rsid w:val="004F0590"/>
    <w:rsid w:val="00515B77"/>
    <w:rsid w:val="00517B7D"/>
    <w:rsid w:val="005256ED"/>
    <w:rsid w:val="00544E06"/>
    <w:rsid w:val="00571BCD"/>
    <w:rsid w:val="00581547"/>
    <w:rsid w:val="00584932"/>
    <w:rsid w:val="00594C3E"/>
    <w:rsid w:val="005B55B5"/>
    <w:rsid w:val="005C6D41"/>
    <w:rsid w:val="005D48AF"/>
    <w:rsid w:val="005E6A53"/>
    <w:rsid w:val="005F1306"/>
    <w:rsid w:val="00610D56"/>
    <w:rsid w:val="00647C26"/>
    <w:rsid w:val="00693235"/>
    <w:rsid w:val="00693449"/>
    <w:rsid w:val="00711DCF"/>
    <w:rsid w:val="00714F5C"/>
    <w:rsid w:val="007366AB"/>
    <w:rsid w:val="00762876"/>
    <w:rsid w:val="007B20DC"/>
    <w:rsid w:val="007F52F5"/>
    <w:rsid w:val="007F6ECC"/>
    <w:rsid w:val="008343C6"/>
    <w:rsid w:val="0086174D"/>
    <w:rsid w:val="0086251B"/>
    <w:rsid w:val="00862B84"/>
    <w:rsid w:val="00862F7F"/>
    <w:rsid w:val="00882291"/>
    <w:rsid w:val="0088730A"/>
    <w:rsid w:val="0089196D"/>
    <w:rsid w:val="008C0063"/>
    <w:rsid w:val="008D70E0"/>
    <w:rsid w:val="008E3940"/>
    <w:rsid w:val="008F2C41"/>
    <w:rsid w:val="008F3B45"/>
    <w:rsid w:val="008F6F0A"/>
    <w:rsid w:val="00910A1A"/>
    <w:rsid w:val="00940545"/>
    <w:rsid w:val="0097350F"/>
    <w:rsid w:val="009E2D61"/>
    <w:rsid w:val="009F7154"/>
    <w:rsid w:val="00A37C3A"/>
    <w:rsid w:val="00A80732"/>
    <w:rsid w:val="00A93AEC"/>
    <w:rsid w:val="00AB343F"/>
    <w:rsid w:val="00AC6FEB"/>
    <w:rsid w:val="00AF3F08"/>
    <w:rsid w:val="00B0090B"/>
    <w:rsid w:val="00B20940"/>
    <w:rsid w:val="00B24674"/>
    <w:rsid w:val="00B24A22"/>
    <w:rsid w:val="00B30006"/>
    <w:rsid w:val="00B65574"/>
    <w:rsid w:val="00BB5B58"/>
    <w:rsid w:val="00BC33E9"/>
    <w:rsid w:val="00C31B84"/>
    <w:rsid w:val="00C51870"/>
    <w:rsid w:val="00C6460C"/>
    <w:rsid w:val="00C82B8E"/>
    <w:rsid w:val="00CA0B80"/>
    <w:rsid w:val="00CE79CC"/>
    <w:rsid w:val="00D25E21"/>
    <w:rsid w:val="00D27E17"/>
    <w:rsid w:val="00D44762"/>
    <w:rsid w:val="00D74BFA"/>
    <w:rsid w:val="00D77D5E"/>
    <w:rsid w:val="00D919BC"/>
    <w:rsid w:val="00E33030"/>
    <w:rsid w:val="00E3387F"/>
    <w:rsid w:val="00E46709"/>
    <w:rsid w:val="00E61545"/>
    <w:rsid w:val="00E62B08"/>
    <w:rsid w:val="00E63EE1"/>
    <w:rsid w:val="00E80826"/>
    <w:rsid w:val="00E86185"/>
    <w:rsid w:val="00E91B2B"/>
    <w:rsid w:val="00ED306F"/>
    <w:rsid w:val="00F820D6"/>
    <w:rsid w:val="00F920DB"/>
    <w:rsid w:val="00F95096"/>
    <w:rsid w:val="00FB1B23"/>
    <w:rsid w:val="00FB5A6F"/>
    <w:rsid w:val="00FC4BE2"/>
    <w:rsid w:val="00FC6AC8"/>
    <w:rsid w:val="00FE5069"/>
    <w:rsid w:val="38FB278B"/>
    <w:rsid w:val="6AC10733"/>
    <w:rsid w:val="70E52C46"/>
    <w:rsid w:val="7403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2"/>
    <w:qFormat/>
    <w:uiPriority w:val="0"/>
    <w:pPr>
      <w:keepNext/>
      <w:keepLines/>
      <w:adjustRightInd w:val="0"/>
      <w:snapToGrid w:val="0"/>
      <w:spacing w:line="590" w:lineRule="atLeast"/>
      <w:ind w:firstLine="200" w:firstLineChars="200"/>
      <w:outlineLvl w:val="2"/>
    </w:pPr>
    <w:rPr>
      <w:rFonts w:ascii="Times New Roman" w:hAnsi="Times New Roman" w:eastAsia="黑体"/>
      <w:bCs/>
      <w:sz w:val="32"/>
      <w:szCs w:val="32"/>
    </w:rPr>
  </w:style>
  <w:style w:type="character" w:default="1" w:styleId="9">
    <w:name w:val="Default Paragraph Font"/>
    <w:autoRedefine/>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5"/>
    <w:unhideWhenUsed/>
    <w:qFormat/>
    <w:uiPriority w:val="99"/>
    <w:pPr>
      <w:jc w:val="left"/>
    </w:pPr>
    <w:rPr>
      <w:rFonts w:ascii="Times New Roman" w:hAnsi="Times New Roman"/>
    </w:rPr>
  </w:style>
  <w:style w:type="paragraph" w:styleId="5">
    <w:name w:val="Body Text"/>
    <w:basedOn w:val="1"/>
    <w:link w:val="11"/>
    <w:unhideWhenUsed/>
    <w:qFormat/>
    <w:uiPriority w:val="99"/>
    <w:pPr>
      <w:spacing w:after="120"/>
    </w:p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autoRedefine/>
    <w:semiHidden/>
    <w:unhideWhenUsed/>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autoRedefine/>
    <w:qFormat/>
    <w:uiPriority w:val="0"/>
    <w:rPr>
      <w:color w:val="0000FF"/>
      <w:u w:val="single"/>
    </w:rPr>
  </w:style>
  <w:style w:type="character" w:customStyle="1" w:styleId="11">
    <w:name w:val="正文文本 Char"/>
    <w:basedOn w:val="9"/>
    <w:link w:val="5"/>
    <w:qFormat/>
    <w:uiPriority w:val="99"/>
    <w:rPr>
      <w:rFonts w:ascii="Calibri" w:hAnsi="Calibri" w:eastAsia="宋体" w:cs="Times New Roman"/>
    </w:rPr>
  </w:style>
  <w:style w:type="character" w:customStyle="1" w:styleId="12">
    <w:name w:val="标题 3 Char"/>
    <w:basedOn w:val="9"/>
    <w:link w:val="3"/>
    <w:autoRedefine/>
    <w:qFormat/>
    <w:uiPriority w:val="0"/>
    <w:rPr>
      <w:rFonts w:ascii="Times New Roman" w:hAnsi="Times New Roman" w:eastAsia="黑体" w:cs="Times New Roman"/>
      <w:bCs/>
      <w:sz w:val="32"/>
      <w:szCs w:val="32"/>
    </w:rPr>
  </w:style>
  <w:style w:type="character" w:customStyle="1" w:styleId="13">
    <w:name w:val="页眉 Char"/>
    <w:basedOn w:val="9"/>
    <w:link w:val="7"/>
    <w:autoRedefine/>
    <w:semiHidden/>
    <w:qFormat/>
    <w:uiPriority w:val="99"/>
    <w:rPr>
      <w:rFonts w:ascii="Calibri" w:hAnsi="Calibri" w:eastAsia="宋体" w:cs="Times New Roman"/>
      <w:sz w:val="18"/>
      <w:szCs w:val="18"/>
    </w:rPr>
  </w:style>
  <w:style w:type="character" w:customStyle="1" w:styleId="14">
    <w:name w:val="页脚 Char"/>
    <w:basedOn w:val="9"/>
    <w:link w:val="6"/>
    <w:autoRedefine/>
    <w:semiHidden/>
    <w:qFormat/>
    <w:uiPriority w:val="99"/>
    <w:rPr>
      <w:rFonts w:ascii="Calibri" w:hAnsi="Calibri" w:eastAsia="宋体" w:cs="Times New Roman"/>
      <w:sz w:val="18"/>
      <w:szCs w:val="18"/>
    </w:rPr>
  </w:style>
  <w:style w:type="character" w:customStyle="1" w:styleId="15">
    <w:name w:val="批注文字 Char"/>
    <w:basedOn w:val="9"/>
    <w:link w:val="4"/>
    <w:autoRedefine/>
    <w:qFormat/>
    <w:uiPriority w:val="99"/>
    <w:rPr>
      <w:rFonts w:ascii="Times New Roman" w:hAnsi="Times New Roman" w:eastAsia="宋体" w:cs="Times New Roman"/>
    </w:rPr>
  </w:style>
  <w:style w:type="character" w:customStyle="1" w:styleId="16">
    <w:name w:val="标题 1 Char"/>
    <w:basedOn w:val="9"/>
    <w:link w:val="2"/>
    <w:qFormat/>
    <w:uiPriority w:val="99"/>
    <w:rPr>
      <w:rFonts w:ascii="Calibri" w:hAnsi="Calibri" w:eastAsia="宋体" w:cs="Times New Roman"/>
      <w:b/>
      <w:bCs/>
      <w:kern w:val="44"/>
      <w:sz w:val="44"/>
      <w:szCs w:val="44"/>
    </w:rPr>
  </w:style>
  <w:style w:type="paragraph" w:customStyle="1" w:styleId="17">
    <w:name w:val="List Paragraph"/>
    <w:basedOn w:val="1"/>
    <w:autoRedefine/>
    <w:qFormat/>
    <w:uiPriority w:val="0"/>
    <w:pPr>
      <w:ind w:firstLine="420" w:firstLineChars="200"/>
    </w:pPr>
    <w:rPr>
      <w:rFonts w:ascii="Calibri" w:hAnsi="Calibri"/>
      <w:szCs w:val="22"/>
    </w:rPr>
  </w:style>
  <w:style w:type="paragraph" w:customStyle="1" w:styleId="18">
    <w:name w:val="Default"/>
    <w:autoRedefine/>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495</Words>
  <Characters>2827</Characters>
  <Lines>23</Lines>
  <Paragraphs>6</Paragraphs>
  <TotalTime>30</TotalTime>
  <ScaleCrop>false</ScaleCrop>
  <LinksUpToDate>false</LinksUpToDate>
  <CharactersWithSpaces>3316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2022-03-14T07:09:00Z</dcterms:created>
  <dc:creator>User</dc:creator>
  <cp:lastModifiedBy>彭尧</cp:lastModifiedBy>
  <cp:lastPrinted>2025-06-17T02:56:57Z</cp:lastPrinted>
  <dcterms:modified xsi:type="dcterms:W3CDTF">2025-06-17T03:39:12Z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9ECE57A165A9464D9A911B61ABD62326_13</vt:lpwstr>
  </property>
</Properties>
</file>