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32"/>
          <w:szCs w:val="32"/>
        </w:rPr>
        <w:t>2024年度项目支出绩效自评表</w:t>
      </w:r>
    </w:p>
    <w:tbl>
      <w:tblPr>
        <w:tblStyle w:val="2"/>
        <w:tblW w:w="875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589"/>
        <w:gridCol w:w="953"/>
        <w:gridCol w:w="1650"/>
        <w:gridCol w:w="1233"/>
        <w:gridCol w:w="1189"/>
        <w:gridCol w:w="428"/>
        <w:gridCol w:w="933"/>
        <w:gridCol w:w="10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项目支出名称</w:t>
            </w:r>
          </w:p>
        </w:tc>
        <w:tc>
          <w:tcPr>
            <w:tcW w:w="8057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运转经费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7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4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岳阳市住房公积金管理中心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岳阳市住房公积金管理中心本级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项目资金(万元)</w:t>
            </w:r>
          </w:p>
        </w:tc>
        <w:tc>
          <w:tcPr>
            <w:tcW w:w="15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资金来源</w:t>
            </w:r>
          </w:p>
        </w:tc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其中:当年财政拨款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2447.06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2769.05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1701.93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上年结转金额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其它资金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2447.06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2769.05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1701.93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61.65%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4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完成省监管办下达的年度各项任务指标，全力推进归集扩面、加大归集建制，切实加强贷后管理、管控个贷风险。</w:t>
            </w:r>
          </w:p>
        </w:tc>
        <w:tc>
          <w:tcPr>
            <w:tcW w:w="36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已按省监管办下达的年度各项任务完成各项指标。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办理住房公积金提取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28亿元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42.41亿元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实现住房公积金增值收益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3.4亿元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3.7665亿元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发放住房公积金贷款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15亿元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10.19亿元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住房交易创新低，购房偏向办提取。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归集住房公积金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50亿元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56.85亿元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住房公积金个贷率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控制在50%-70%的区间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52.07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年度个人住房贷款逾期率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控制在0.06%以下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0.02%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在岳阳市以外湖南省内其它城市购房的，作出准予提取或者不准提取的决定，并告知提取申请人。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自受理申请之日起20个工作日内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作出准予贷款或不准予贷款的决定，并通知借款申请人。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自受理贷款申请日起10个工作日内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自不动产登记机构办结不动产抵押登记手续，出具《不动产登记证明》之日起，5个工作日内办理放款手续。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5个工作日内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在岳阳市范围内购房的，自受理申请之日起3个工作日内做出准予提取或者不准提取的决定，并告知提取申请人，手续齐全的，即时办理。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即时办理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实现公积金保值增值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实现增值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在完成各项业务指标的基础上，最大程度发挥住房公积金的住房保障作用。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有效发放保障作用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实现公积金保值增值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有效实现增值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降低缴存职工购房压力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降低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有效降低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住房公积金窗口服务满意度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成本控制在预算内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2447.06万元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1701.93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3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94.15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tabs>
                <w:tab w:val="left" w:pos="2029"/>
              </w:tabs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备注：一个一级项目支出一张表。如，业务工作经费，运转维护经费，其他事业发展类资金......各一张表。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7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填报人：       填报日期：          联系电话：          单位负责人签名：</w:t>
            </w:r>
          </w:p>
        </w:tc>
      </w:tr>
    </w:tbl>
    <w:p/>
    <w:sectPr>
      <w:pgSz w:w="11906" w:h="16838"/>
      <w:pgMar w:top="900" w:right="1800" w:bottom="639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66192"/>
    <w:rsid w:val="03D9195C"/>
    <w:rsid w:val="0DA61673"/>
    <w:rsid w:val="12D62275"/>
    <w:rsid w:val="166D65D9"/>
    <w:rsid w:val="1E241183"/>
    <w:rsid w:val="213876C0"/>
    <w:rsid w:val="332116F0"/>
    <w:rsid w:val="341B1908"/>
    <w:rsid w:val="4B4219B7"/>
    <w:rsid w:val="55966192"/>
    <w:rsid w:val="5CFF0148"/>
    <w:rsid w:val="65C60E87"/>
    <w:rsid w:val="6BE72B23"/>
    <w:rsid w:val="6D3113B3"/>
    <w:rsid w:val="6FE93B2A"/>
    <w:rsid w:val="759E7199"/>
    <w:rsid w:val="7F95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2025-07-24T08:35:00Z</dcterms:created>
  <dc:creator>财务科</dc:creator>
  <cp:lastModifiedBy>财务科</cp:lastModifiedBy>
  <dcterms:modified xsi:type="dcterms:W3CDTF">2025-07-24T09:40:16Z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ABEFFE9029304FA28011B31D5B082C88</vt:lpwstr>
  </property>
</Properties>
</file>