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202</w:t>
      </w:r>
      <w:r>
        <w:rPr>
          <w:rFonts w:hint="eastAsia" w:ascii="方正小标宋_GBK" w:hAnsi="方正小标宋_GBK" w:eastAsia="方正小标宋_GBK" w:cs="方正小标宋_GBK"/>
          <w:sz w:val="84"/>
          <w:szCs w:val="8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年度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岳阳市洞庭湖大桥养护中心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56"/>
          <w:szCs w:val="56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jc w:val="center"/>
        <w:rPr>
          <w:sz w:val="32"/>
          <w:szCs w:val="32"/>
        </w:rPr>
      </w:pPr>
    </w:p>
    <w:p>
      <w:pPr>
        <w:pStyle w:val="13"/>
        <w:spacing w:line="540" w:lineRule="exact"/>
        <w:jc w:val="both"/>
        <w:rPr>
          <w:sz w:val="56"/>
          <w:szCs w:val="56"/>
        </w:rPr>
      </w:pPr>
    </w:p>
    <w:p>
      <w:pPr>
        <w:pStyle w:val="13"/>
        <w:spacing w:line="500" w:lineRule="exact"/>
        <w:jc w:val="both"/>
        <w:rPr>
          <w:b/>
          <w:sz w:val="36"/>
          <w:szCs w:val="28"/>
        </w:rPr>
      </w:pPr>
    </w:p>
    <w:p>
      <w:pPr>
        <w:pStyle w:val="13"/>
        <w:spacing w:line="500" w:lineRule="exact"/>
        <w:jc w:val="center"/>
        <w:rPr>
          <w:b/>
          <w:sz w:val="36"/>
          <w:szCs w:val="28"/>
        </w:rPr>
      </w:pPr>
      <w:r>
        <w:rPr>
          <w:rFonts w:hint="eastAsia"/>
          <w:b/>
          <w:sz w:val="36"/>
          <w:szCs w:val="28"/>
        </w:rPr>
        <w:t>目录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第一部分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val="en-US" w:eastAsia="zh-CN"/>
        </w:rPr>
        <w:t>岳阳市洞庭湖大桥养护中心单位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概况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一、部门职责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二、机构设置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及决算单位构成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第二部分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四、财政拨款收入支出决算总表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五、一般公共预算财政拨款支出决算表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六、一般公共预算财政拨款基本支出决算明细表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七、政府性基金预算财政拨款收入支出决算表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八、国有资本经营预算财政拨款支出决算表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九、财政拨款“三公”经费支出决算表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第三部分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部门决算情况说明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一、收入支出决算总体情况说明</w:t>
      </w:r>
    </w:p>
    <w:p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二、收入决算情况说明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三、支出决算情况说明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四、财政拨款收入支出决算总体情况说明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五、一般公共预算财政拨款支出决算情况说明</w:t>
      </w:r>
    </w:p>
    <w:p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六、一般公共预算财政拨款基本支出决算情况说明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八、</w:t>
      </w:r>
      <w:r>
        <w:rPr>
          <w:rFonts w:hint="eastAsia" w:ascii="仿宋_GB2312" w:hAnsi="仿宋_GB2312" w:eastAsia="仿宋_GB2312" w:cs="仿宋_GB2312"/>
          <w:sz w:val="28"/>
          <w:szCs w:val="28"/>
        </w:rPr>
        <w:t>国有资本经营预算财政拨款支出决算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九、财政拨款三公经费支出决算情况说明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十、关于机关运行经费支出说明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十一、一般性支出情况说明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十二、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关于政府采购支出说明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700" w:firstLineChars="2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十三、关于国有资产占用情况说明</w:t>
      </w:r>
    </w:p>
    <w:p>
      <w:pPr>
        <w:pStyle w:val="13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-SA"/>
        </w:rPr>
        <w:t>十四、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关于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预算</w:t>
      </w:r>
      <w:r>
        <w:rPr>
          <w:rFonts w:hint="eastAsia" w:ascii="仿宋_GB2312" w:hAnsi="仿宋_GB2312" w:eastAsia="仿宋_GB2312" w:cs="仿宋_GB2312"/>
          <w:sz w:val="28"/>
          <w:szCs w:val="28"/>
        </w:rPr>
        <w:t>绩效情况的说明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第四部分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名词解释</w:t>
      </w:r>
    </w:p>
    <w:p>
      <w:pPr>
        <w:pStyle w:val="13"/>
        <w:spacing w:line="500" w:lineRule="exact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第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部分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sz w:val="28"/>
          <w:szCs w:val="28"/>
          <w:lang w:eastAsia="zh-CN"/>
        </w:rPr>
        <w:t>附件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 xml:space="preserve">第一部分 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  <w:lang w:eastAsia="zh-CN"/>
        </w:rPr>
        <w:t>岳阳市洞庭湖大桥养护中心</w:t>
      </w: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单位概况</w:t>
      </w:r>
    </w:p>
    <w:p>
      <w:pPr>
        <w:pStyle w:val="8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4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4"/>
        <w:ind w:left="0" w:leftChars="0" w:firstLine="0" w:firstLineChars="0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8"/>
        <w:rPr>
          <w:rFonts w:hint="eastAsia" w:eastAsia="方正小标宋_GBK"/>
          <w:lang w:eastAsia="zh-CN"/>
        </w:rPr>
      </w:pPr>
    </w:p>
    <w:p>
      <w:pPr>
        <w:pStyle w:val="4"/>
        <w:rPr>
          <w:rFonts w:hint="eastAsia" w:eastAsia="方正小标宋_GBK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14"/>
        <w:numPr>
          <w:ilvl w:val="0"/>
          <w:numId w:val="1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部门职责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落实国家、省、市关于公路桥梁养护工作有关法律法规、方针政策，开展政策法规宣传；参与拟订大桥管养、安全风险防控等行业规划计划、政策及规范性文件，并协助组织实施。承担大桥日常养护、大中修、新建、改造工程的组织实施，桥区绿化美化亮化等技术支撑工作；承担桥梁养护市场监管行政辅助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担大桥管养等行政执法、行政许可的事务性、技术性、辅助性工作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担大桥区域内安全生产、平安建设、桥面安全运行、桥梁运行安全风险防控和隐患治理等工作；承担大桥结构安全检测等技术支撑工作；承担大桥路产维护及巡察的行政辅助工作；配合执法机构对大桥路产损坏补偿进行调查取证，执行路产恢复预算与计划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（三）承担大桥结构健康监测、数据统计及科学管养等技术支撑工作，承担大桥实时监控及“两客一危”、超限运输车辆治理等行政辅助工作。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（四）承担大桥节假日运输、抢险救灾、反恐防暴、交通备战、处置突发事件等应急保障工作。</w:t>
      </w:r>
    </w:p>
    <w:p>
      <w:pPr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ind w:firstLine="800" w:firstLineChars="25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（五）完成市交通运输局交办的其他任务。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</w:rPr>
        <w:t>二、机构设置及决算单位构成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（一）内设机构设置。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岳阳市洞庭湖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大桥养护中心单位内设机构包括：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个内设机构及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个分支机构，其中：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个内设机构为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综合部、人事部、财务部、养护技术部、工程计划部、安全生产部、战备应急部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；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个分支机构为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路产维护站、桥梁健康监测站（市洞庭湖大桥数据中心）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50"/>
        <w:jc w:val="both"/>
        <w:textAlignment w:val="auto"/>
        <w:rPr>
          <w:rFonts w:ascii="仿宋_GB2312" w:eastAsia="仿宋_GB2312" w:hAnsiTheme="minorEastAsia"/>
          <w:sz w:val="28"/>
          <w:szCs w:val="32"/>
        </w:rPr>
      </w:pP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岳阳市洞庭湖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大桥养护中心单位202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年部门决算汇总公开单位构成包括：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本单位无独立核算的下属单位，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2023年度部门决算汇总公开单位仅包括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eastAsia="zh-CN"/>
        </w:rPr>
        <w:t>岳阳市洞庭湖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</w:rPr>
        <w:t>大桥养护中心</w:t>
      </w:r>
      <w:r>
        <w:rPr>
          <w:rFonts w:hint="eastAsia" w:ascii="Times New Roman" w:hAnsi="Times New Roman" w:eastAsia="仿宋_GB2312" w:cs="仿宋_GB2312"/>
          <w:bCs/>
          <w:kern w:val="0"/>
          <w:sz w:val="32"/>
          <w:szCs w:val="32"/>
          <w:lang w:val="en-US" w:eastAsia="zh-CN"/>
        </w:rPr>
        <w:t>单位本级。</w:t>
      </w:r>
    </w:p>
    <w:p/>
    <w:p>
      <w:pPr>
        <w:pStyle w:val="4"/>
        <w:ind w:left="0" w:leftChars="0" w:firstLine="0" w:firstLineChars="0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第二部分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部门决算表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  <w:t>（见附件）</w:t>
      </w: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b w:val="0"/>
          <w:bCs w:val="0"/>
          <w:sz w:val="72"/>
          <w:szCs w:val="72"/>
          <w:lang w:eastAsia="zh-CN"/>
        </w:rPr>
      </w:pP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第三部分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202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70"/>
          <w:szCs w:val="70"/>
        </w:rPr>
        <w:t>年度部门决算情况说明</w:t>
      </w: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由于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决算编制时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明细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至“金额单位：元</w:t>
      </w:r>
      <w:r>
        <w:rPr>
          <w:rFonts w:hint="eastAsia" w:ascii="仿宋_GB2312" w:hAnsi="仿宋_GB2312" w:eastAsia="仿宋_GB2312" w:cs="仿宋_GB2312"/>
          <w:sz w:val="32"/>
          <w:szCs w:val="32"/>
        </w:rPr>
        <w:t>”，而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本套部门决算文字说明</w:t>
      </w:r>
      <w:r>
        <w:rPr>
          <w:rFonts w:hint="eastAsia" w:ascii="仿宋_GB2312" w:hAnsi="仿宋_GB2312" w:eastAsia="仿宋_GB2312" w:cs="仿宋_GB2312"/>
          <w:sz w:val="32"/>
          <w:szCs w:val="32"/>
        </w:rPr>
        <w:t>和公开表格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取数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转换为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金额单位：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万元”，可能导致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以下文字说明中的各项数据取数以及公开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表格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中的各项数据取数之间存在</w:t>
      </w:r>
      <w:r>
        <w:rPr>
          <w:rFonts w:hint="eastAsia" w:ascii="仿宋_GB2312" w:hAnsi="仿宋_GB2312" w:eastAsia="仿宋_GB2312" w:cs="仿宋_GB2312"/>
          <w:sz w:val="32"/>
          <w:szCs w:val="32"/>
        </w:rPr>
        <w:t>0.01的尾数差异。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2、以下文字说明中，部分科目由于预算数为0，无法计算完成年初预算的百分比，故未描述“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完成年初预算的XX%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”。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5651.40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1592.18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21.98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洞庭湖大桥维修加固工程支付项目款减少。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二、收入决算情况说明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5651.40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万元，其中：财政拨款收入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5596.80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99.03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%；上级补助收入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%；事业收入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%；附属单位上缴收入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54.61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0.97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5651.40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1290.94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22.84</w:t>
      </w:r>
      <w:r>
        <w:rPr>
          <w:rFonts w:hint="eastAsia" w:ascii="仿宋_GB2312" w:hAnsi="仿宋_GB2312" w:eastAsia="仿宋_GB2312" w:cs="仿宋_GB2312"/>
          <w:sz w:val="32"/>
          <w:szCs w:val="32"/>
        </w:rPr>
        <w:t>%；项目支出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4360.47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77.16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%；上缴上级支出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%；经营支出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%；对附属单位补助支出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四、财政拨款收入支出决算总体情况说明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年度财政拨款收、支总计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5596.80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万元，与上年相比，减少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1510.33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万元,减少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21.25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洞庭湖大桥维修加固工程支付项目款减少。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五、一般公共预算财政拨款支出决算情况说明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（一）一般公共预算财政拨款支出决算总体情况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5596.80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万元，占本年支出合计的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99.03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%，与上年相比，财政拨款支出减少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1510.33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万元，减少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21.25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%，主要是因为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洞庭湖大桥维修加固工程支付项目款减少。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（二）一般公共预算财政拨款支出决算结构情况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5596.80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万元，主要用于以下方面：</w:t>
      </w:r>
      <w:r>
        <w:rPr>
          <w:rFonts w:hint="eastAsia" w:ascii="Times New Roman" w:hAnsi="Times New Roman" w:eastAsia="仿宋_GB2312"/>
          <w:sz w:val="32"/>
          <w:szCs w:val="32"/>
        </w:rPr>
        <w:t>社会保障和就业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88.88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1.5881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卫生健康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40.98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0.7322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城乡社区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0.03</w:t>
      </w:r>
      <w:r>
        <w:rPr>
          <w:rFonts w:hint="eastAsia" w:ascii="Times New Roman" w:hAnsi="Times New Roman" w:eastAsia="仿宋_GB2312"/>
          <w:sz w:val="32"/>
          <w:szCs w:val="32"/>
        </w:rPr>
        <w:t>万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0.0005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</w:rPr>
        <w:t>交通运输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（类）</w:t>
      </w:r>
      <w:r>
        <w:rPr>
          <w:rFonts w:hint="eastAsia" w:ascii="Times New Roman" w:hAnsi="Times New Roman" w:eastAsia="仿宋_GB2312"/>
          <w:sz w:val="32"/>
          <w:szCs w:val="32"/>
        </w:rPr>
        <w:t>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5390.67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96.3170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；住房保障（类）支出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76.24万元，占1.3622%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（三）一般公共预算财政拨款支出决算具体情况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年度财政拨款支出年初预算数为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1377.40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5596.80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406.33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1、社会保障和就业支出（类）行政事业单位养老支出（款）机关事业单位基本养老保险缴费支出（项）。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78.43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78.43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严格按预算执行支付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2、社会保障和就业支出（类）行政事业单位养老支出（款）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事业单位离退休（项）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7.79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2.40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30.81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小于</w:t>
      </w:r>
      <w:r>
        <w:rPr>
          <w:rFonts w:hint="eastAsia" w:ascii="Times New Roman" w:hAnsi="Times New Roman" w:eastAsia="仿宋_GB2312"/>
          <w:sz w:val="32"/>
          <w:szCs w:val="32"/>
        </w:rPr>
        <w:t>年初预算数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的主要原因是：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2022年离退休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支出科目调整。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社会保障和就业支出（类）抚恤（款）其他优抚支出（项）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1.17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存在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优抚支出，进行了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基数调整。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社会保障和就业支出（类）残疾人事业（款）其他残疾人事业支出（项）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4.48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4.45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99.33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小于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个别基数调整。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社会保障和就业支出（类）其他社会保障和就业支出（款）其他社会保障和就业支出（项）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2.43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2.43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严格按预算执行支付。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6、卫生健康支出（类）行政事业单位医疗（款）事业单位医疗（项）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41.23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40.98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99.39</w:t>
      </w:r>
      <w:r>
        <w:rPr>
          <w:rFonts w:hint="eastAsia" w:ascii="Times New Roman" w:hAnsi="Times New Roman" w:eastAsia="仿宋_GB2312"/>
          <w:sz w:val="32"/>
          <w:szCs w:val="32"/>
        </w:rPr>
        <w:t>%，决算数小于年初预算数的主要原因是：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个别基数调整。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7、城乡社区支出（类）城乡社区规划与管理（款）城乡社区规划与管理（项）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0.03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住房公积基金支出科目调整。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8、交通运输支出（类）公路水路运输（款）行政运行（项）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929.81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905.53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97.39</w:t>
      </w:r>
      <w:r>
        <w:rPr>
          <w:rFonts w:hint="eastAsia" w:ascii="Times New Roman" w:hAnsi="Times New Roman" w:eastAsia="仿宋_GB2312"/>
          <w:sz w:val="32"/>
          <w:szCs w:val="32"/>
        </w:rPr>
        <w:t>%，决算数小于年初预算数的主要原因是：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个别基数调整。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9、交通运输支出（类）公路水路运输（款）其他公路水路运输支出（项）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35.50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万元，决算数大于年初预算数的主要原因是：日常维修及桥梁伸缩缝维修工程等项目的增加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10、交通运输支出（类）车辆购置税支出（款）车辆购置税用于公路等基础设施建设支出（项）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4163.09</w:t>
      </w:r>
      <w:r>
        <w:rPr>
          <w:rFonts w:hint="eastAsia" w:ascii="Times New Roman" w:hAnsi="Times New Roman" w:eastAsia="仿宋_GB2312"/>
          <w:sz w:val="32"/>
          <w:szCs w:val="32"/>
        </w:rPr>
        <w:t>万元，决算数大于年初预算数的主要原因是：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洞庭湖大桥维修加固工程追加预算。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11、交通运输支出（类）其他交通运输支出（款）其他交通运输支出（项）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236.98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286.55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120.92</w:t>
      </w:r>
      <w:r>
        <w:rPr>
          <w:rFonts w:hint="eastAsia" w:ascii="Times New Roman" w:hAnsi="Times New Roman" w:eastAsia="仿宋_GB2312"/>
          <w:sz w:val="32"/>
          <w:szCs w:val="32"/>
        </w:rPr>
        <w:t>%，决算数大于年初预算数的主要原因是：日常维修及桥梁伸缩缝维修工程等项目的增加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12、住房保障支出（类）住房改革支出（款）住房公积金（项）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76.24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76.24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等于</w:t>
      </w:r>
      <w:r>
        <w:rPr>
          <w:rFonts w:hint="eastAsia" w:ascii="Times New Roman" w:hAnsi="Times New Roman" w:eastAsia="仿宋_GB2312"/>
          <w:sz w:val="32"/>
          <w:szCs w:val="32"/>
        </w:rPr>
        <w:t>年初预算数的主要原因是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：严格按预算执行支付。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六、一般公共预算财政拨款基本支出决算情况说明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年度财政拨款基本支出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1236.33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1133.66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91.70</w:t>
      </w:r>
      <w:r>
        <w:rPr>
          <w:rFonts w:hint="eastAsia" w:ascii="仿宋_GB2312" w:hAnsi="仿宋_GB2312" w:eastAsia="仿宋_GB2312" w:cs="仿宋_GB2312"/>
          <w:sz w:val="32"/>
          <w:szCs w:val="32"/>
        </w:rPr>
        <w:t>%,主要包括</w:t>
      </w:r>
      <w:r>
        <w:rPr>
          <w:rFonts w:hint="eastAsia" w:ascii="Times New Roman" w:hAnsi="Times New Roman" w:eastAsia="仿宋_GB2312"/>
          <w:sz w:val="32"/>
          <w:szCs w:val="32"/>
        </w:rPr>
        <w:t>基本工资、津贴补贴、</w:t>
      </w:r>
      <w:r>
        <w:rPr>
          <w:rFonts w:hint="eastAsia" w:ascii="Times New Roman" w:hAnsi="Times New Roman" w:eastAsia="仿宋_GB2312"/>
          <w:sz w:val="32"/>
          <w:szCs w:val="32"/>
          <w:lang w:val="zh-CN"/>
        </w:rPr>
        <w:t>奖金、伙食补助费、绩效工资、机关事业单位基本养老保险缴费、职业年金缴费、职工基本医疗保险缴费、其他社会保障缴费、住房公积金、其他工资福利支出、退休费、抚恤金、其他对个人和家庭的补助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公用经费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102.68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万元，占基本支出的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8.30</w:t>
      </w:r>
      <w:r>
        <w:rPr>
          <w:rFonts w:hint="eastAsia" w:ascii="仿宋_GB2312" w:hAnsi="仿宋_GB2312" w:eastAsia="仿宋_GB2312" w:cs="仿宋_GB2312"/>
          <w:sz w:val="32"/>
          <w:szCs w:val="32"/>
        </w:rPr>
        <w:t>%，主要包括</w:t>
      </w:r>
      <w:r>
        <w:rPr>
          <w:rFonts w:hint="eastAsia" w:ascii="Times New Roman" w:hAnsi="Times New Roman" w:eastAsia="仿宋_GB2312"/>
          <w:sz w:val="32"/>
          <w:szCs w:val="32"/>
        </w:rPr>
        <w:t>办公费、咨询费、水费、邮电费、物业管理费、差旅费、维修（护）费、培训费、劳务费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工会经费、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福利费、其他交通费用、</w:t>
      </w:r>
      <w:r>
        <w:rPr>
          <w:rFonts w:hint="eastAsia" w:ascii="Times New Roman" w:hAnsi="Times New Roman" w:eastAsia="仿宋_GB2312"/>
          <w:sz w:val="32"/>
          <w:szCs w:val="32"/>
        </w:rPr>
        <w:t>其他商品和服务支出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、专用设备购置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七、政府性基金预算收入支出决算情况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2023年度政府性基金预算财政拨款收入0万元；年初结转和结余0万元；支出0万元，其中基本支出0万元，项目支出0万元；年末结转和结余0万元。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-SA"/>
        </w:rPr>
        <w:t>八、国有资本经营预算财政拨款支出决算情况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2023年度国有资本经营预算财政拨款收入0万元；年初结转和结余0万；支出0万元，其中：基本支出0万元，项目支出0万元；年末结转和结余0万元。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hint="eastAsia" w:hAnsi="黑体" w:cs="黑体"/>
          <w:b w:val="0"/>
          <w:bCs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财政拨款三公经费支出决算情况说明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（一）“三公”经费财政拨款支出决算总体情况说明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2023年度“三公”经费财政拨款支出预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算为16万元，支出决算为0万元，决算数小于预算数，完成预算的0%。其中：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因公出国（境）费支出预算为0万元，支出决算为0万元，决算数等于预算数，主要原因是我单位严格按预算执行决算；与上年一致，无增减变动，主要原因是未安排因公出国（境）活动。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公务接待费支出预算为1万元，支出决算为0万元，完成预算的0%，决算数小于预算数，主要原因是严格执行中央八项规定；与上年一致，无增减变动，主要原因是按有关政策厉行节约，严控公务接待支出。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公务用车购置费支出预算为0万元，支出决算为0万元，决算数等于预算数，主要原因是我单位严格按预算执行决算；与上年一致，无增减变动，主要原因是两年均未购置公务用车。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公务用车运行维护费支出预算为15万元，支出决算为0万元，完成预算的0%，决算数小于预算数，主要原因是我单位严格按预算执行决算；与上年一致，无增减变动，主要原因是单位车辆为特种作业车。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 w:val="0"/>
          <w:sz w:val="32"/>
          <w:szCs w:val="32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（二）“三公”经费财政拨款支出决算具体情况说明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2023年度“三公”经费财政拨款支出决算中，公务接待费支出决算0万元，因公出国（境）费支出决算0万元，公务用车购置费及运行维护费支出决算0万元。其中：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因公出国（境）费支出决算为0万元，全年安排因公出国（境）团组0个，累计0人次，我单位2023年度无因公出国（境）费支出。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公务接待费支出决算为0万元，全年共接待来访团组0个、来宾0人次，我单位2023年度无公务接待费支出。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公务用车购置费及运行维护费支出决算为0万元，其中：公务用车购置费0万元，当年没有购置公务用车。公务用车运行维护费0万元，截至2023年12月31日，我单位开支财政拨款的公务用车保有量为0辆。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lang w:eastAsia="zh-CN"/>
        </w:rPr>
        <w:t>十</w:t>
      </w:r>
      <w:r>
        <w:rPr>
          <w:rFonts w:hint="eastAsia" w:ascii="Times New Roman" w:hAnsi="Times New Roman" w:eastAsia="仿宋_GB2312"/>
          <w:b/>
          <w:color w:val="auto"/>
          <w:sz w:val="32"/>
          <w:szCs w:val="32"/>
        </w:rPr>
        <w:t>、关于机关运行经费支出说明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本单位为事业单位，按照机关运行经费的口径，本年度机关运行经费为0。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、一般性支出情况说明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年度，本单位无会议费的预算和支出决算数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；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</w:rPr>
        <w:t>培训费年初预算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3.2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2.23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69.69</w:t>
      </w:r>
      <w:r>
        <w:rPr>
          <w:rFonts w:hint="eastAsia" w:ascii="Times New Roman" w:hAnsi="Times New Roman" w:eastAsia="仿宋_GB2312"/>
          <w:sz w:val="32"/>
          <w:szCs w:val="32"/>
        </w:rPr>
        <w:t>%。用于开展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党员教育</w:t>
      </w:r>
      <w:r>
        <w:rPr>
          <w:rFonts w:hint="eastAsia" w:ascii="Times New Roman" w:hAnsi="Times New Roman" w:eastAsia="仿宋_GB2312"/>
          <w:sz w:val="32"/>
          <w:szCs w:val="32"/>
        </w:rPr>
        <w:t>培训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1次</w:t>
      </w:r>
      <w:r>
        <w:rPr>
          <w:rFonts w:hint="eastAsia" w:ascii="Times New Roman" w:hAnsi="Times New Roman" w:eastAsia="仿宋_GB2312"/>
          <w:sz w:val="32"/>
          <w:szCs w:val="32"/>
        </w:rPr>
        <w:t>，人数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48</w:t>
      </w:r>
      <w:r>
        <w:rPr>
          <w:rFonts w:hint="eastAsia" w:ascii="Times New Roman" w:hAnsi="Times New Roman" w:eastAsia="仿宋_GB2312"/>
          <w:sz w:val="32"/>
          <w:szCs w:val="32"/>
        </w:rPr>
        <w:t>人，内容为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参观红色教育基地，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用于安全教育培训1次，人数67人，内容为消防应急演练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用于开展桥梁养护技术培训1次，人数5人；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本单位无举办节庆、晚会、论坛、赛事等活动的预算和支出决算数。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十</w:t>
      </w:r>
      <w:r>
        <w:rPr>
          <w:rFonts w:hint="eastAsia" w:hAnsi="黑体" w:cs="黑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、关于政府采购支出说明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jc w:val="both"/>
        <w:textAlignment w:val="auto"/>
        <w:rPr>
          <w:rFonts w:hint="eastAsia" w:ascii="宋体" w:hAnsi="宋体" w:eastAsia="宋体"/>
          <w:i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本部门202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年度政府采购支出总额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万元，其中：政府采购货物支出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15.30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万元、政府采购工程支出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125.48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万元、政府采购服务支出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125.72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万元。授予中小企业合同金额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万元，占政府采购支出总额的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%，其中：授予小微企业合同金额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266.50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授予中小企业合同金额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%。货物采购授予中小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企业合同金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额占货物支出金额的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%，工程采购授予中小企业合同金额占工程支出金额的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%，服务采购授予中小企业合同金额占服务支出金额的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%。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、关于国有资产占用情况说明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截至202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部门（单位）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共有车辆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，副部（省）级及以上领导用车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机要通信用车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辆、应急保障用车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辆、执法执勤用车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辆、特种专业技术用车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离退休干部服务用车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辆、其他用车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辆，其他用车</w:t>
      </w:r>
      <w:r>
        <w:rPr>
          <w:rFonts w:hint="eastAsia" w:ascii="Times New Roman" w:hAnsi="Times New Roman" w:eastAsia="仿宋_GB2312"/>
          <w:sz w:val="32"/>
          <w:szCs w:val="32"/>
        </w:rPr>
        <w:t>主要是用于上桥作业，监控设备维修等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；单位价值100万元以上设备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（不含车辆）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台（套）。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十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、关于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年度</w:t>
      </w:r>
      <w:r>
        <w:rPr>
          <w:rFonts w:hint="eastAsia" w:hAnsi="黑体" w:cs="黑体"/>
          <w:b w:val="0"/>
          <w:bCs/>
          <w:color w:val="auto"/>
          <w:sz w:val="32"/>
          <w:szCs w:val="32"/>
          <w:lang w:eastAsia="zh-CN"/>
        </w:rPr>
        <w:t>预算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绩效情况的说明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（一）绩效管理工作开展情况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根据预算绩效管理要求，我们组织对2023年度整体支出和项目资金实施了全覆盖性的绩效评价，撰写了绩效自评报告。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组织开展整体支出绩效评价，涉及一般公共预算支出5651.40万元，政府性基金预算支出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万元，国有资本经营预算支出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万元。从评价情况来看，整体支出绩效评价中，2023年整体支出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5651.40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万元，其中：基本支出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1290.94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万元，项目支出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4360.46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万元，本单位整体支出绩效自评综合评分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98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分，评价结果等次为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优秀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组织对一般公共预算项目支出全面开展绩效自评，项目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个，共涉及资金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236.98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万元，占一般公共预算项目支出总额的5.43%。组织对政府性基金预算项目支出开展绩效自评，项目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个，共涉及资金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万元（由于政府性基金预算项目支出总额为0，故无法计算占政府性基金预算项目支出总额的比重）。组织对国有资本经营预算项目支出开展绩效自评，项目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个，共涉及资金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 w:bidi="ar-SA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万元（由于国有资本经营预算项目支出总额为0，故无法计算占国有资本经营预算项目支出总额的比重）。从评价情况来看，项目绩效自评得分100分，评价结果等次为优秀。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部门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整体支出绩效情况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根据年初设定的绩效目标，绩效自评得分为98分。全年预算数为1377.40万元，执行数为5651.40万元，完成预算的410.29%。绩效目标完成情况：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eastAsia="仿宋_GB2312"/>
          <w:sz w:val="32"/>
          <w:szCs w:val="32"/>
        </w:rPr>
        <w:t>按时发放工资，又防止突破规范，同时严格控制非生产性开支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eastAsia" w:ascii="仿宋_GB2312" w:eastAsia="仿宋_GB2312"/>
          <w:sz w:val="32"/>
          <w:szCs w:val="32"/>
        </w:rPr>
        <w:t>我们严格预算管理，从严控制计划，强化了预算执行跟踪监控。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存在的问题及原因分析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存在的主要问题及原因：一是</w:t>
      </w:r>
      <w:r>
        <w:rPr>
          <w:rFonts w:hint="eastAsia" w:ascii="仿宋_GB2312" w:eastAsia="仿宋_GB2312"/>
          <w:sz w:val="32"/>
          <w:szCs w:val="32"/>
          <w:lang w:eastAsia="zh-CN"/>
        </w:rPr>
        <w:t>桥梁</w:t>
      </w:r>
      <w:r>
        <w:rPr>
          <w:rFonts w:hint="eastAsia" w:ascii="仿宋_GB2312" w:eastAsia="仿宋_GB2312"/>
          <w:sz w:val="32"/>
          <w:szCs w:val="32"/>
        </w:rPr>
        <w:t>养护工作没有</w:t>
      </w:r>
      <w:r>
        <w:rPr>
          <w:rFonts w:hint="eastAsia" w:ascii="仿宋_GB2312" w:eastAsia="仿宋_GB2312"/>
          <w:sz w:val="32"/>
          <w:szCs w:val="32"/>
          <w:lang w:eastAsia="zh-CN"/>
        </w:rPr>
        <w:t>足额</w:t>
      </w:r>
      <w:r>
        <w:rPr>
          <w:rFonts w:hint="eastAsia" w:ascii="仿宋_GB2312" w:eastAsia="仿宋_GB2312"/>
          <w:sz w:val="32"/>
          <w:szCs w:val="32"/>
        </w:rPr>
        <w:t>预算安排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eastAsia" w:ascii="仿宋_GB2312" w:eastAsia="仿宋_GB2312"/>
          <w:sz w:val="32"/>
          <w:szCs w:val="32"/>
          <w:lang w:eastAsia="zh-CN"/>
        </w:rPr>
        <w:t>车辆使用经费明显不足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。下一步改进措施：一是</w:t>
      </w:r>
      <w:r>
        <w:rPr>
          <w:rFonts w:hint="eastAsia" w:ascii="仿宋_GB2312" w:eastAsia="仿宋_GB2312"/>
          <w:sz w:val="32"/>
          <w:szCs w:val="32"/>
          <w:lang w:eastAsia="zh-CN"/>
        </w:rPr>
        <w:t>增加桥梁养护资金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；二是</w:t>
      </w:r>
      <w:r>
        <w:rPr>
          <w:rFonts w:hint="eastAsia" w:ascii="仿宋_GB2312" w:eastAsia="仿宋_GB2312"/>
          <w:sz w:val="32"/>
          <w:szCs w:val="32"/>
          <w:lang w:eastAsia="zh-CN"/>
        </w:rPr>
        <w:t>建议增加特种车辆使用经费。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预算绩效管理开展情况、绩效目标和绩效评价报告等，已在市政府部门财政预决算公开平台上向社会公开，详见附件。</w:t>
      </w:r>
    </w:p>
    <w:p>
      <w:pPr>
        <w:pStyle w:val="13"/>
        <w:jc w:val="both"/>
        <w:rPr>
          <w:sz w:val="72"/>
          <w:szCs w:val="72"/>
        </w:rPr>
      </w:pPr>
    </w:p>
    <w:p>
      <w:pPr>
        <w:pStyle w:val="13"/>
        <w:jc w:val="center"/>
        <w:rPr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第四部分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70"/>
          <w:szCs w:val="70"/>
        </w:rPr>
        <w:t>名词解释</w:t>
      </w:r>
    </w:p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/>
    <w:p>
      <w:pPr>
        <w:pStyle w:val="8"/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二、机关运行经费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，指为保障行政单位（包括参照公务员法管理的事业单位）运行用于购买货物和服务的各项资金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，包括办公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印刷费、邮电费、差旅费、会议费、日常维修费、专用材料及一般设备购置费、办公用房水电费、办公用房取暖费、办公用房物业管理费、公务用车运行维护费以及其他费用。</w:t>
      </w:r>
    </w:p>
    <w:p>
      <w:pPr>
        <w:ind w:firstLine="640" w:firstLineChars="200"/>
        <w:jc w:val="left"/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color w:val="000000"/>
          <w:kern w:val="0"/>
          <w:sz w:val="32"/>
          <w:szCs w:val="32"/>
          <w:lang w:val="en-US" w:eastAsia="zh-CN" w:bidi="ar-SA"/>
        </w:rPr>
        <w:t>三、基本支出：指为保障机构正常运转，完成日常工作任务而发生的各项支出，包括人员经费支出和公用经费支出。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13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/>
    <w:p>
      <w:pPr>
        <w:pStyle w:val="8"/>
      </w:pPr>
    </w:p>
    <w:p>
      <w:pPr>
        <w:pStyle w:val="4"/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第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部分</w:t>
      </w:r>
    </w:p>
    <w:p>
      <w:pPr>
        <w:pStyle w:val="13"/>
        <w:jc w:val="both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</w:p>
    <w:p>
      <w:pPr>
        <w:pStyle w:val="13"/>
        <w:jc w:val="center"/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70"/>
          <w:szCs w:val="70"/>
          <w:lang w:eastAsia="zh-CN"/>
        </w:rPr>
        <w:t>件</w:t>
      </w: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1、2023年部门决算公开表格</w:t>
      </w:r>
    </w:p>
    <w:p>
      <w:pPr>
        <w:ind w:firstLine="640" w:firstLineChars="200"/>
        <w:jc w:val="left"/>
        <w:rPr>
          <w:rFonts w:ascii="宋体" w:hAnsi="宋体" w:eastAsia="宋体" w:cs="黑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黑体"/>
          <w:b/>
          <w:color w:val="000000"/>
          <w:kern w:val="0"/>
          <w:sz w:val="32"/>
          <w:szCs w:val="32"/>
        </w:rPr>
        <w:t>年度部门整体支出绩效评价报告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72D7EA"/>
    <w:multiLevelType w:val="singleLevel"/>
    <w:tmpl w:val="0D72D7EA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37981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57F8E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4ED1825"/>
    <w:rsid w:val="05305739"/>
    <w:rsid w:val="059958AD"/>
    <w:rsid w:val="064F1875"/>
    <w:rsid w:val="0917445D"/>
    <w:rsid w:val="0EC317E9"/>
    <w:rsid w:val="12583BA5"/>
    <w:rsid w:val="13BA5B9C"/>
    <w:rsid w:val="1D97DEFF"/>
    <w:rsid w:val="1DFF72E5"/>
    <w:rsid w:val="1EFC6F07"/>
    <w:rsid w:val="22AC03C2"/>
    <w:rsid w:val="23C42E84"/>
    <w:rsid w:val="2DA63261"/>
    <w:rsid w:val="2FDF85B8"/>
    <w:rsid w:val="2FFFEE04"/>
    <w:rsid w:val="31C95635"/>
    <w:rsid w:val="34B14D18"/>
    <w:rsid w:val="34DF85B0"/>
    <w:rsid w:val="3AA9374B"/>
    <w:rsid w:val="3B8F36BC"/>
    <w:rsid w:val="3CAA0F7E"/>
    <w:rsid w:val="47850B66"/>
    <w:rsid w:val="491FF225"/>
    <w:rsid w:val="4D8D45CD"/>
    <w:rsid w:val="4E0729BF"/>
    <w:rsid w:val="4E707F6D"/>
    <w:rsid w:val="4ECE6E4C"/>
    <w:rsid w:val="4FFD214C"/>
    <w:rsid w:val="5352765A"/>
    <w:rsid w:val="53CB7D68"/>
    <w:rsid w:val="55703040"/>
    <w:rsid w:val="5777D4F5"/>
    <w:rsid w:val="59DD8326"/>
    <w:rsid w:val="59F76F17"/>
    <w:rsid w:val="5AA9184E"/>
    <w:rsid w:val="5DEF592A"/>
    <w:rsid w:val="5FC6BB1E"/>
    <w:rsid w:val="5FF720F1"/>
    <w:rsid w:val="67FF5C0B"/>
    <w:rsid w:val="69054B5C"/>
    <w:rsid w:val="6AE17565"/>
    <w:rsid w:val="6BAA4A2F"/>
    <w:rsid w:val="6DEE71E8"/>
    <w:rsid w:val="6EFC0924"/>
    <w:rsid w:val="6FB74722"/>
    <w:rsid w:val="6FEF8B7E"/>
    <w:rsid w:val="71A6591B"/>
    <w:rsid w:val="737D59BA"/>
    <w:rsid w:val="737F32B1"/>
    <w:rsid w:val="76F671EB"/>
    <w:rsid w:val="77C37683"/>
    <w:rsid w:val="7822096D"/>
    <w:rsid w:val="786B036B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FFB577"/>
    <w:rsid w:val="FEEA50FE"/>
    <w:rsid w:val="FF7D47A9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 Indent"/>
    <w:basedOn w:val="1"/>
    <w:next w:val="4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4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next w:val="4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24</Pages>
  <Words>1347</Words>
  <Characters>7679</Characters>
  <Lines>63</Lines>
  <Paragraphs>18</Paragraphs>
  <TotalTime>1</TotalTime>
  <ScaleCrop>false</ScaleCrop>
  <LinksUpToDate>false</LinksUpToDate>
  <CharactersWithSpaces>9008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2020-07-08T02:32:00Z</dcterms:created>
  <dc:creator>李航 null</dc:creator>
  <cp:lastModifiedBy>Administrator</cp:lastModifiedBy>
  <cp:lastPrinted>2024-08-08T10:20:00Z</cp:lastPrinted>
  <dcterms:modified xsi:type="dcterms:W3CDTF">2025-08-25T06:46:07Z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98623D6660B449428EB8E073C6C952EA</vt:lpwstr>
  </property>
</Properties>
</file>