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6DCFF1">
      <w:pPr>
        <w:pStyle w:val="15"/>
        <w:jc w:val="center"/>
        <w:rPr>
          <w:sz w:val="56"/>
          <w:szCs w:val="56"/>
        </w:rPr>
      </w:pPr>
    </w:p>
    <w:p w14:paraId="3BDF5AB8">
      <w:pPr>
        <w:pStyle w:val="15"/>
        <w:jc w:val="center"/>
        <w:rPr>
          <w:sz w:val="56"/>
          <w:szCs w:val="56"/>
        </w:rPr>
      </w:pPr>
    </w:p>
    <w:p w14:paraId="60CA4575">
      <w:pPr>
        <w:pStyle w:val="15"/>
        <w:jc w:val="center"/>
        <w:rPr>
          <w:sz w:val="84"/>
          <w:szCs w:val="84"/>
        </w:rPr>
      </w:pPr>
    </w:p>
    <w:p w14:paraId="215EB31D">
      <w:pPr>
        <w:pStyle w:val="15"/>
        <w:jc w:val="center"/>
        <w:rPr>
          <w:sz w:val="84"/>
          <w:szCs w:val="84"/>
        </w:rPr>
      </w:pPr>
    </w:p>
    <w:p w14:paraId="376C8602">
      <w:pPr>
        <w:pStyle w:val="15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202</w:t>
      </w:r>
      <w:r>
        <w:rPr>
          <w:rFonts w:hint="eastAsia" w:ascii="方正小标宋_GBK" w:hAnsi="方正小标宋_GBK" w:eastAsia="方正小标宋_GBK" w:cs="方正小标宋_GBK"/>
          <w:sz w:val="84"/>
          <w:szCs w:val="84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年度</w:t>
      </w:r>
    </w:p>
    <w:p w14:paraId="6934EBE9">
      <w:pPr>
        <w:pStyle w:val="15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岳阳市市场监督管理局城陵矶新港区分局部门决算</w:t>
      </w:r>
    </w:p>
    <w:p w14:paraId="3A699C16">
      <w:pPr>
        <w:pStyle w:val="15"/>
        <w:jc w:val="center"/>
        <w:rPr>
          <w:rFonts w:hint="eastAsia" w:ascii="方正小标宋_GBK" w:hAnsi="方正小标宋_GBK" w:eastAsia="方正小标宋_GBK" w:cs="方正小标宋_GBK"/>
          <w:sz w:val="56"/>
          <w:szCs w:val="56"/>
        </w:rPr>
      </w:pPr>
    </w:p>
    <w:p w14:paraId="72C8FB58">
      <w:pPr>
        <w:pStyle w:val="15"/>
        <w:jc w:val="center"/>
        <w:rPr>
          <w:sz w:val="56"/>
          <w:szCs w:val="56"/>
        </w:rPr>
      </w:pPr>
    </w:p>
    <w:p w14:paraId="25018D25">
      <w:pPr>
        <w:pStyle w:val="15"/>
        <w:jc w:val="center"/>
        <w:rPr>
          <w:sz w:val="56"/>
          <w:szCs w:val="56"/>
        </w:rPr>
      </w:pPr>
    </w:p>
    <w:p w14:paraId="5EE73A38">
      <w:pPr>
        <w:pStyle w:val="15"/>
        <w:jc w:val="center"/>
        <w:rPr>
          <w:sz w:val="56"/>
          <w:szCs w:val="56"/>
        </w:rPr>
      </w:pPr>
    </w:p>
    <w:p w14:paraId="297571C5">
      <w:pPr>
        <w:pStyle w:val="15"/>
        <w:jc w:val="center"/>
        <w:rPr>
          <w:sz w:val="32"/>
          <w:szCs w:val="32"/>
        </w:rPr>
      </w:pPr>
    </w:p>
    <w:p w14:paraId="08493D1E">
      <w:pPr>
        <w:pStyle w:val="15"/>
        <w:jc w:val="center"/>
        <w:rPr>
          <w:sz w:val="32"/>
          <w:szCs w:val="32"/>
        </w:rPr>
      </w:pPr>
    </w:p>
    <w:p w14:paraId="5BD6E8BD">
      <w:pPr>
        <w:pStyle w:val="15"/>
        <w:jc w:val="center"/>
        <w:rPr>
          <w:sz w:val="32"/>
          <w:szCs w:val="32"/>
        </w:rPr>
      </w:pPr>
    </w:p>
    <w:p w14:paraId="1062A3B4">
      <w:pPr>
        <w:pStyle w:val="15"/>
        <w:jc w:val="center"/>
        <w:rPr>
          <w:sz w:val="32"/>
          <w:szCs w:val="32"/>
        </w:rPr>
      </w:pPr>
    </w:p>
    <w:p w14:paraId="6311DFC7">
      <w:pPr>
        <w:pStyle w:val="15"/>
        <w:jc w:val="center"/>
        <w:rPr>
          <w:sz w:val="32"/>
          <w:szCs w:val="32"/>
        </w:rPr>
      </w:pPr>
    </w:p>
    <w:p w14:paraId="50228290">
      <w:pPr>
        <w:pStyle w:val="15"/>
        <w:spacing w:line="540" w:lineRule="exact"/>
        <w:jc w:val="center"/>
        <w:rPr>
          <w:sz w:val="56"/>
          <w:szCs w:val="56"/>
        </w:rPr>
      </w:pPr>
    </w:p>
    <w:p w14:paraId="459C483D">
      <w:pPr>
        <w:pStyle w:val="15"/>
        <w:spacing w:line="500" w:lineRule="exact"/>
        <w:jc w:val="both"/>
        <w:rPr>
          <w:b/>
          <w:sz w:val="36"/>
          <w:szCs w:val="28"/>
        </w:rPr>
      </w:pPr>
    </w:p>
    <w:p w14:paraId="24F3309B">
      <w:pPr>
        <w:pStyle w:val="15"/>
        <w:spacing w:line="500" w:lineRule="exact"/>
        <w:jc w:val="center"/>
        <w:rPr>
          <w:b/>
          <w:sz w:val="36"/>
          <w:szCs w:val="28"/>
        </w:rPr>
      </w:pPr>
      <w:r>
        <w:rPr>
          <w:rFonts w:hint="eastAsia"/>
          <w:b/>
          <w:sz w:val="36"/>
          <w:szCs w:val="28"/>
        </w:rPr>
        <w:t>目录</w:t>
      </w:r>
    </w:p>
    <w:p w14:paraId="6CBD0C22">
      <w:pPr>
        <w:pStyle w:val="15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第一部分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hAnsi="黑体" w:cs="黑体"/>
          <w:b w:val="0"/>
          <w:bCs/>
          <w:sz w:val="28"/>
          <w:szCs w:val="28"/>
          <w:lang w:val="en-US" w:eastAsia="zh-CN"/>
        </w:rPr>
        <w:t>岳阳市市场监督管理局城陵矶新港区分局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单位概况</w:t>
      </w:r>
    </w:p>
    <w:p w14:paraId="060CB1DC">
      <w:pPr>
        <w:pStyle w:val="15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一、部门职责</w:t>
      </w:r>
    </w:p>
    <w:p w14:paraId="315E49DA">
      <w:pPr>
        <w:pStyle w:val="15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二、机构设置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及决算单位构成</w:t>
      </w:r>
    </w:p>
    <w:p w14:paraId="3CE431DD">
      <w:pPr>
        <w:pStyle w:val="15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第二部分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部门决算表</w:t>
      </w:r>
    </w:p>
    <w:p w14:paraId="4B1DE222">
      <w:pPr>
        <w:pStyle w:val="15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一、收入支出决算总表</w:t>
      </w:r>
    </w:p>
    <w:p w14:paraId="28DAEA9B">
      <w:pPr>
        <w:pStyle w:val="15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二、收入决算表</w:t>
      </w:r>
    </w:p>
    <w:p w14:paraId="4189E141">
      <w:pPr>
        <w:pStyle w:val="15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三、支出决算表</w:t>
      </w:r>
    </w:p>
    <w:p w14:paraId="0621647E">
      <w:pPr>
        <w:pStyle w:val="15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四、财政拨款收入支出决算总表</w:t>
      </w:r>
    </w:p>
    <w:p w14:paraId="28E0B171">
      <w:pPr>
        <w:pStyle w:val="15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五、一般公共预算财政拨款支出决算表</w:t>
      </w:r>
    </w:p>
    <w:p w14:paraId="0A1DA969">
      <w:pPr>
        <w:pStyle w:val="15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六、一般公共预算财政拨款基本支出决算明细表</w:t>
      </w:r>
    </w:p>
    <w:p w14:paraId="62E9A333">
      <w:pPr>
        <w:pStyle w:val="15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七、政府性基金预算财政拨款收入支出决算表</w:t>
      </w:r>
    </w:p>
    <w:p w14:paraId="316661B6">
      <w:pPr>
        <w:pStyle w:val="15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八、国有资本经营预算财政拨款支出决算表</w:t>
      </w:r>
    </w:p>
    <w:p w14:paraId="23827588">
      <w:pPr>
        <w:pStyle w:val="15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九、财政拨款“三公”经费支出决算表</w:t>
      </w:r>
    </w:p>
    <w:p w14:paraId="69B4707F">
      <w:pPr>
        <w:pStyle w:val="15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第三部分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部门决算情况说明</w:t>
      </w:r>
    </w:p>
    <w:p w14:paraId="30D2819C">
      <w:pPr>
        <w:pStyle w:val="15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一、收入支出决算总体情况说明</w:t>
      </w:r>
    </w:p>
    <w:p w14:paraId="2F99AFEC">
      <w:pPr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二、收入决算情况说明</w:t>
      </w:r>
    </w:p>
    <w:p w14:paraId="69796A82"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三、支出决算情况说明</w:t>
      </w:r>
    </w:p>
    <w:p w14:paraId="42F5763D"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四、财政拨款收入支出决算总体情况说明</w:t>
      </w:r>
    </w:p>
    <w:p w14:paraId="4551B6B2"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五、一般公共预算财政拨款支出决算情况说明</w:t>
      </w:r>
    </w:p>
    <w:p w14:paraId="0BC2CE30"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六、一般公共预算财政拨款基本支出决算情况说明</w:t>
      </w:r>
    </w:p>
    <w:p w14:paraId="11D855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七、政府性基金预算收入支出决算情况</w:t>
      </w:r>
    </w:p>
    <w:p w14:paraId="5F6B55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yellow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none"/>
        </w:rPr>
        <w:t>八、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国有资本经营预算财政拨款支出决算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情况</w:t>
      </w:r>
    </w:p>
    <w:p w14:paraId="71D910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九、财政拨款三公经费支出决算情况说明</w:t>
      </w:r>
    </w:p>
    <w:p w14:paraId="371B64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十、关于机关运行经费支出说明</w:t>
      </w:r>
    </w:p>
    <w:p w14:paraId="1624E7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十一、一般性支出情况说明</w:t>
      </w:r>
    </w:p>
    <w:p w14:paraId="6C86A3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十二、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关于政府采购支出说明</w:t>
      </w:r>
    </w:p>
    <w:p w14:paraId="5E15A6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700" w:firstLineChars="25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-SA"/>
        </w:rPr>
        <w:t>十三、关于国有资产占用情况说明</w:t>
      </w:r>
    </w:p>
    <w:p w14:paraId="5BD7D26C">
      <w:pPr>
        <w:pStyle w:val="15"/>
        <w:spacing w:line="500" w:lineRule="exact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none"/>
          <w:lang w:val="en-US" w:eastAsia="zh-CN" w:bidi="ar-SA"/>
        </w:rPr>
        <w:t>十四、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关于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202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年度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预算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绩效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管理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情况的说明</w:t>
      </w:r>
    </w:p>
    <w:p w14:paraId="51852483">
      <w:pPr>
        <w:pStyle w:val="15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第四部分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名词解释</w:t>
      </w:r>
    </w:p>
    <w:p w14:paraId="7D866A9C">
      <w:pPr>
        <w:pStyle w:val="15"/>
        <w:spacing w:line="500" w:lineRule="exact"/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</w:t>
      </w:r>
      <w:r>
        <w:rPr>
          <w:rFonts w:hint="eastAsia" w:hAnsi="黑体" w:cs="黑体"/>
          <w:b w:val="0"/>
          <w:bCs/>
          <w:sz w:val="28"/>
          <w:szCs w:val="28"/>
          <w:lang w:eastAsia="zh-CN"/>
        </w:rPr>
        <w:t>五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部分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hAnsi="黑体" w:cs="黑体"/>
          <w:b w:val="0"/>
          <w:bCs/>
          <w:sz w:val="28"/>
          <w:szCs w:val="28"/>
          <w:lang w:eastAsia="zh-CN"/>
        </w:rPr>
        <w:t>附件</w:t>
      </w:r>
    </w:p>
    <w:p w14:paraId="2E7F14A9">
      <w:pPr>
        <w:pStyle w:val="15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1095DEAB">
      <w:pPr>
        <w:pStyle w:val="15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3786FE18">
      <w:pPr>
        <w:pStyle w:val="15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208CDDA0">
      <w:pPr>
        <w:pStyle w:val="15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05B197A2">
      <w:pPr>
        <w:pStyle w:val="15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47ED8473">
      <w:pPr>
        <w:pStyle w:val="15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6BB9C944">
      <w:pPr>
        <w:pStyle w:val="15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419BAE31">
      <w:pPr>
        <w:pStyle w:val="15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05076FD8">
      <w:pPr>
        <w:pStyle w:val="15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14A4530F">
      <w:pPr>
        <w:pStyle w:val="15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0DEEC249">
      <w:pPr>
        <w:pStyle w:val="15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 xml:space="preserve">第一部分 </w:t>
      </w:r>
    </w:p>
    <w:p w14:paraId="5C6A94F8">
      <w:pPr>
        <w:pStyle w:val="15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5EF69A9D">
      <w:pPr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岳阳市市场监督管理局城陵矶新港区分局单位概况</w:t>
      </w:r>
    </w:p>
    <w:p w14:paraId="77A0C778">
      <w:pPr>
        <w:pStyle w:val="9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397AC3FB">
      <w:pPr>
        <w:pStyle w:val="5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13F2C40A">
      <w:pPr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128B0AE2">
      <w:pPr>
        <w:pStyle w:val="9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1469560B">
      <w:pPr>
        <w:pStyle w:val="5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55E857AF">
      <w:pPr>
        <w:pStyle w:val="16"/>
        <w:numPr>
          <w:ilvl w:val="0"/>
          <w:numId w:val="1"/>
        </w:numPr>
        <w:ind w:firstLineChars="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部门职责</w:t>
      </w:r>
    </w:p>
    <w:p w14:paraId="6027F827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一）负责市场综合监督管理。贯彻执行国家市场监督管理的方针、政策和法律法规规章，组织实施质量强区、食品安全、标准化和知识产权等战略，拟订并组织实施有关规划，规范和维护市场秩序，营造诚实守信、公平竞争的市场环境。</w:t>
      </w:r>
    </w:p>
    <w:p w14:paraId="02271E3B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二）负责市场主体统一登记注册工作。负责新港区各类企业、农民专业合作社和从事经营活动的单位、个体工商户等市场主体的登记注册工作。建立市场主体信息公示和共享机制，依法公示和共享有关信息，加强信用监管，推动市场主体信用体系建设。</w:t>
      </w:r>
    </w:p>
    <w:p w14:paraId="7E6F30A3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（三）负责组织指导市场监管综合执法工作。完善全区市场监管综合执法队伍整合和建设，推动实行统一的市场监管。组织查处违法案件。规范市场监管行政执法行为。</w:t>
      </w:r>
    </w:p>
    <w:p w14:paraId="4D08B68B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（四） 依委托开展反垄断统一执法调查工作。依委托协助开展垄断协议、滥用市场支配地位和滥用行政权力排除、限制竞争等反垄断执法调查工作。</w:t>
      </w:r>
    </w:p>
    <w:p w14:paraId="4442E02A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五）负责监督管理市场秩序。依法监督管理市场交易、网络商品交易及有关服务的行为。组织指导查处价格收费违法违规、不正当竞争、违法直销、传销、侵犯商标专利知识产权和制售假冒伪劣行为。依法实施合同、拍卖行为的监督管理，管理动产抵押物登记。指导广告业的发展，监督管理广告活动。承担依法查处无照生产经营和相关无证生产经营行为。</w:t>
      </w:r>
    </w:p>
    <w:p w14:paraId="37B18BBB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六）负责宏观质量管理。贯彻国家、省、市质量发展的有关政策，拟订推进质量发展战略的政策措施并组织实施，对新港区质量管理工作进行宏观指导。组织实施质量奖励制度，积极推进质量强区战略和品牌建设，推动建立产品质量诚信制度；负责政府质量工作考核；组织实施产品和服务质量提升、开展服务质量监测；按规定权限组织对产品质量事故调查，配合实施缺陷产品召回制度，监督管理产品防伪工作。</w:t>
      </w:r>
    </w:p>
    <w:p w14:paraId="0A985810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（七）负责产品质量安全监督管理。负责产品质量安全监督抽查和风险监控工作，组织实施质量分级制度、质量安全追溯制度。负责工业产品生产许可管理。负责纤维质量监督检验工作。</w:t>
      </w:r>
    </w:p>
    <w:p w14:paraId="5E4447B6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八）负责特种设备安全监督管理。综合管理特种设备安全监察、监督工作，监督检查高耗能特种设备节能标准和锅炉生产、进口、销售环节环境保护标准的执行情况。按规定权限组织调查处理特种设备事故并进行统计分析。</w:t>
      </w:r>
    </w:p>
    <w:p w14:paraId="3FBC5F90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（九）负责城陵矶新港区食品安全监督管理综合协调。负责食品安全应急体系建设，组织食品安全事件应急处置和调查处理工作。落实食品安全重要信息直报制度。</w:t>
      </w:r>
    </w:p>
    <w:p w14:paraId="619478F8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十）负责城陵矶新港区食品安全监督管理。建立覆盖食品生产、流通、消费全过程的监督检查制度和隐患排查治理机制并组织实施，防范区域性、系统性食品安全风险。推动建立食品生产经营者落实主体责任机制，健全食品安全追溯体系。组织开展食品安全监督抽检、风险监测、核查处置和风险预警、风险交流工作。组织开展特殊食品监督管理。负责食盐专营管理和食盐安全监督管理。</w:t>
      </w:r>
    </w:p>
    <w:p w14:paraId="49EA15B9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（十一）负责统一管理计量工作。推行国家法定计量单位，执行国家计量制度，依职权管理计量器具及量值传递和比对工作。规范、监督商品量和市场计量行为。</w:t>
      </w:r>
    </w:p>
    <w:p w14:paraId="3591E42C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十二）负责统一管理标准化工作。组织实施标准化法律、法规，推进本行政区域内标准化战略的实施；依法开展标准化试点示范工作；管理城陵矶新港区商品条码工作；依据法定职责，对标准的制定进行指导监督，对标准的实施进行监督检查。推行采用国际标准。</w:t>
      </w:r>
    </w:p>
    <w:p w14:paraId="3AB2E4EE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（十三）负责检验检测工作。依权限配合上级机关开展检验检测工作。</w:t>
      </w:r>
    </w:p>
    <w:p w14:paraId="51DF3C32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（十四）负责统一管理、监督和综合协调认证认可工作。依法监督管理城陵矶新港区认证认可和合格评定有关活动。</w:t>
      </w:r>
    </w:p>
    <w:p w14:paraId="6328CCEA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（十五）负责市场监督管理、知识产权领域科技和信息化建设、新闻宣传、对外交流与合作。按规定承担技术性贸易措施有关工作。</w:t>
      </w:r>
    </w:p>
    <w:p w14:paraId="2393023C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（十六）负责实施知识产权战略，推进知识产权强区建设。制定强化知识产权创造、保护、运用的管理措施并组织实施。建设知识产权公共服务体系，推动知识产权信息传播利用，建设知识产权人才队伍。</w:t>
      </w:r>
    </w:p>
    <w:p w14:paraId="50D8B153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（十七）负责保护知识产权。落实严格保护专利、商标、原产地地理标志等相关工作，建设知识产权保护体系、指导监督商标、专利及原产地地理标志执法。</w:t>
      </w:r>
    </w:p>
    <w:p w14:paraId="0C3F2313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（十八）负责知识产权创造运用。开展知识产权运营体系建设，指导重大经济活动知识产权评议，规范知识产权交易和无形资产评估，促进知识产权转移转化，推动知识产权高质量发展。</w:t>
      </w:r>
    </w:p>
    <w:p w14:paraId="7297D12D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十九）负责组织开展有关商品和服务领域消费维权工作，查处假冒伪劣等违法行为，指导消费者咨询、投诉、举报受理、处理等工作，保护经营者、消费者合法权益。指导消费者权益保护组织开展消费维权工作。</w:t>
      </w:r>
    </w:p>
    <w:p w14:paraId="20C94C61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（二十）负责药品（含中药、民族药，下同）、医疗器械和化妆品安全监督管理。贯彻执行国家、省关于药品、医疗器械、化妆品安全监督管理的法律、法规和规章。</w:t>
      </w:r>
    </w:p>
    <w:p w14:paraId="5CB03A18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（二十一）监督实施药品、医疗器械、化妆品标准和分类管理制度，配合有关部门实施国家基本药物制度。</w:t>
      </w:r>
    </w:p>
    <w:p w14:paraId="1F9F59E4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（二十二）负责权限范围内药品、医疗器械和化妆品质量管理。监督实施药品、医疗器械经营质量管理规范，监督实施化妆品经营、使用卫生标准和技术规范。</w:t>
      </w:r>
    </w:p>
    <w:p w14:paraId="37A8709D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二十三）负责权限范围内药品、医疗器械和化妆品上市后风险管理。依委托组织开展药品不良反应、医疗器械不良事件和化妆品不良反应的监测、评价和处置工作。依法承担药品、医疗器械和化妆品安全应急管理工作。</w:t>
      </w:r>
    </w:p>
    <w:p w14:paraId="3B252784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二十四）负责组织实施药品、医疗器械和化妆品监督检查。制定检查制度，依法查处药品、医疗器械和化妆品经营、使用环节违法行为，监督实施问题产品召回和处置制度，依职责组织指导查处其他环节的违法行为。</w:t>
      </w:r>
    </w:p>
    <w:p w14:paraId="1187CF93">
      <w:pPr>
        <w:ind w:firstLine="640" w:firstLineChars="200"/>
        <w:jc w:val="left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（二十五）完成上级部门和区政府（管委会）交办的其他任务。</w:t>
      </w:r>
    </w:p>
    <w:p w14:paraId="2DC82B10">
      <w:pPr>
        <w:widowControl/>
        <w:numPr>
          <w:ilvl w:val="0"/>
          <w:numId w:val="2"/>
        </w:numPr>
        <w:spacing w:line="600" w:lineRule="exact"/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机构设置及决算单位构成</w:t>
      </w:r>
    </w:p>
    <w:p w14:paraId="480525D9">
      <w:pPr>
        <w:pStyle w:val="9"/>
        <w:numPr>
          <w:ilvl w:val="0"/>
          <w:numId w:val="2"/>
        </w:numPr>
        <w:rPr>
          <w:rFonts w:hint="eastAsia"/>
        </w:rPr>
      </w:pPr>
    </w:p>
    <w:p w14:paraId="643BBFF2">
      <w:pPr>
        <w:ind w:firstLine="640" w:firstLineChars="200"/>
        <w:jc w:val="left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</w:rPr>
        <w:t>（一）内设机构设置。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zh-CN"/>
        </w:rPr>
        <w:t>岳阳市市场监督管理局城陵矶新港区分局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单位内设机构包括：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zh-CN"/>
        </w:rPr>
        <w:t>行政综合办公室、登记注册和信息化股（非公党建办公室）、综合业务股、新港市场监管所。</w:t>
      </w:r>
    </w:p>
    <w:p w14:paraId="38152785">
      <w:pPr>
        <w:ind w:firstLine="640" w:firstLineChars="200"/>
        <w:jc w:val="left"/>
      </w:pPr>
      <w:r>
        <w:rPr>
          <w:rFonts w:hint="eastAsia" w:ascii="Times New Roman" w:hAnsi="Times New Roman" w:eastAsia="仿宋_GB2312" w:cs="仿宋_GB2312"/>
          <w:bCs/>
          <w:kern w:val="0"/>
          <w:sz w:val="32"/>
          <w:szCs w:val="32"/>
        </w:rPr>
        <w:t>（二）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决算单位构成。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zh-CN" w:eastAsia="zh-CN"/>
        </w:rPr>
        <w:t>本单位无独立核算的下属单位，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2024年度部门决算汇总公开单位仅包括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zh-CN"/>
        </w:rPr>
        <w:t>岳阳市市场监督管理局城陵矶新港区分局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单位本级。</w:t>
      </w:r>
    </w:p>
    <w:p w14:paraId="3CE56614">
      <w:pPr>
        <w:pStyle w:val="9"/>
      </w:pPr>
    </w:p>
    <w:p w14:paraId="70B4D569">
      <w:pPr>
        <w:pStyle w:val="5"/>
      </w:pPr>
    </w:p>
    <w:p w14:paraId="5B1D6CBC"/>
    <w:p w14:paraId="7D6C31E4">
      <w:pPr>
        <w:pStyle w:val="9"/>
      </w:pPr>
    </w:p>
    <w:p w14:paraId="056E4ECA">
      <w:pPr>
        <w:pStyle w:val="5"/>
      </w:pPr>
    </w:p>
    <w:p w14:paraId="3288C9C5"/>
    <w:p w14:paraId="14507043">
      <w:pPr>
        <w:pStyle w:val="9"/>
      </w:pPr>
    </w:p>
    <w:p w14:paraId="18A19BE5"/>
    <w:p w14:paraId="7CCBF86D">
      <w:pPr>
        <w:pStyle w:val="9"/>
      </w:pPr>
    </w:p>
    <w:p w14:paraId="0017F5EC">
      <w:pPr>
        <w:pStyle w:val="5"/>
      </w:pPr>
    </w:p>
    <w:p w14:paraId="76181D4E"/>
    <w:p w14:paraId="1A174866">
      <w:pPr>
        <w:pStyle w:val="15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2B49F2B7">
      <w:pPr>
        <w:pStyle w:val="15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661BBFC8">
      <w:pPr>
        <w:pStyle w:val="15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第二部分</w:t>
      </w:r>
    </w:p>
    <w:p w14:paraId="5FB02ED5">
      <w:pPr>
        <w:pStyle w:val="15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3860F185">
      <w:pPr>
        <w:pStyle w:val="15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部门决算表</w:t>
      </w:r>
    </w:p>
    <w:p w14:paraId="50A5962C">
      <w:pPr>
        <w:pStyle w:val="15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  <w:t>（见附件）</w:t>
      </w:r>
    </w:p>
    <w:p w14:paraId="325AF5B5">
      <w:pPr>
        <w:pStyle w:val="15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 w14:paraId="0568D1B8">
      <w:pPr>
        <w:pStyle w:val="15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 w14:paraId="5C65B646">
      <w:pPr>
        <w:pStyle w:val="15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 w14:paraId="62EA5E89">
      <w:pPr>
        <w:pStyle w:val="15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 w14:paraId="63BFFD84">
      <w:pPr>
        <w:pStyle w:val="15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 w14:paraId="4565BABE">
      <w:pPr>
        <w:pStyle w:val="15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 w14:paraId="6EEAB3EF">
      <w:pPr>
        <w:pStyle w:val="15"/>
        <w:jc w:val="center"/>
        <w:rPr>
          <w:rFonts w:hint="eastAsia" w:ascii="仿宋_GB2312" w:hAnsi="仿宋_GB2312" w:eastAsia="仿宋_GB2312" w:cs="仿宋_GB2312"/>
          <w:b w:val="0"/>
          <w:bCs w:val="0"/>
          <w:sz w:val="72"/>
          <w:szCs w:val="72"/>
          <w:lang w:eastAsia="zh-CN"/>
        </w:rPr>
      </w:pPr>
    </w:p>
    <w:p w14:paraId="603C04A7">
      <w:pPr>
        <w:pStyle w:val="15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7A44A82E">
      <w:pPr>
        <w:pStyle w:val="15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06211665">
      <w:pPr>
        <w:pStyle w:val="15"/>
        <w:jc w:val="both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7804FBAA">
      <w:pPr>
        <w:pStyle w:val="15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第三部分</w:t>
      </w:r>
    </w:p>
    <w:p w14:paraId="7D53C949">
      <w:pPr>
        <w:pStyle w:val="15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</w:p>
    <w:p w14:paraId="4F77A5A6">
      <w:pPr>
        <w:pStyle w:val="15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  <w:r>
        <w:rPr>
          <w:rFonts w:hint="eastAsia" w:ascii="方正小标宋_GBK" w:hAnsi="方正小标宋_GBK" w:eastAsia="方正小标宋_GBK" w:cs="方正小标宋_GBK"/>
          <w:sz w:val="70"/>
          <w:szCs w:val="70"/>
        </w:rPr>
        <w:t>202</w:t>
      </w:r>
      <w:r>
        <w:rPr>
          <w:rFonts w:hint="eastAsia" w:ascii="方正小标宋_GBK" w:hAnsi="方正小标宋_GBK" w:eastAsia="方正小标宋_GBK" w:cs="方正小标宋_GBK"/>
          <w:sz w:val="70"/>
          <w:szCs w:val="70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sz w:val="70"/>
          <w:szCs w:val="70"/>
        </w:rPr>
        <w:t>年度部门决算情况说明</w:t>
      </w:r>
    </w:p>
    <w:p w14:paraId="17862F93">
      <w:pPr>
        <w:pStyle w:val="15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</w:p>
    <w:p w14:paraId="6EEC30AB">
      <w:pPr>
        <w:pStyle w:val="15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</w:p>
    <w:p w14:paraId="417367C1">
      <w:pPr>
        <w:pStyle w:val="15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</w:p>
    <w:p w14:paraId="5EF1049C">
      <w:pPr>
        <w:pStyle w:val="15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</w:p>
    <w:p w14:paraId="7E4B3CF9">
      <w:pPr>
        <w:pStyle w:val="15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</w:p>
    <w:p w14:paraId="514C0722">
      <w:pPr>
        <w:pStyle w:val="15"/>
        <w:jc w:val="center"/>
        <w:rPr>
          <w:rFonts w:hint="eastAsia" w:ascii="方正小标宋_GBK" w:hAnsi="方正小标宋_GBK" w:eastAsia="方正小标宋_GBK" w:cs="方正小标宋_GBK"/>
          <w:sz w:val="70"/>
          <w:szCs w:val="70"/>
        </w:rPr>
      </w:pPr>
    </w:p>
    <w:p w14:paraId="111D7AB8"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说明：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</w:rPr>
        <w:t>由于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部门</w:t>
      </w:r>
      <w:r>
        <w:rPr>
          <w:rFonts w:hint="eastAsia" w:ascii="仿宋_GB2312" w:hAnsi="仿宋_GB2312" w:eastAsia="仿宋_GB2312" w:cs="仿宋_GB2312"/>
          <w:sz w:val="32"/>
          <w:szCs w:val="32"/>
        </w:rPr>
        <w:t>决算编制时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数据</w:t>
      </w:r>
      <w:r>
        <w:rPr>
          <w:rFonts w:hint="eastAsia" w:ascii="仿宋_GB2312" w:hAnsi="仿宋_GB2312" w:eastAsia="仿宋_GB2312" w:cs="仿宋_GB2312"/>
          <w:sz w:val="32"/>
          <w:szCs w:val="32"/>
        </w:rPr>
        <w:t>明细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至“金额单位：元</w:t>
      </w:r>
      <w:r>
        <w:rPr>
          <w:rFonts w:hint="eastAsia" w:ascii="仿宋_GB2312" w:hAnsi="仿宋_GB2312" w:eastAsia="仿宋_GB2312" w:cs="仿宋_GB2312"/>
          <w:sz w:val="32"/>
          <w:szCs w:val="32"/>
        </w:rPr>
        <w:t>”，而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本套部门决算文字说明</w:t>
      </w:r>
      <w:r>
        <w:rPr>
          <w:rFonts w:hint="eastAsia" w:ascii="仿宋_GB2312" w:hAnsi="仿宋_GB2312" w:eastAsia="仿宋_GB2312" w:cs="仿宋_GB2312"/>
          <w:sz w:val="32"/>
          <w:szCs w:val="32"/>
        </w:rPr>
        <w:t>和公开表格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数据</w:t>
      </w:r>
      <w:r>
        <w:rPr>
          <w:rFonts w:hint="eastAsia" w:ascii="仿宋_GB2312" w:hAnsi="仿宋_GB2312" w:eastAsia="仿宋_GB2312" w:cs="仿宋_GB2312"/>
          <w:sz w:val="32"/>
          <w:szCs w:val="32"/>
        </w:rPr>
        <w:t>取数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转换为</w:t>
      </w:r>
      <w:r>
        <w:rPr>
          <w:rFonts w:hint="eastAsia" w:ascii="仿宋_GB2312" w:hAnsi="仿宋_GB2312" w:eastAsia="仿宋_GB2312" w:cs="仿宋_GB2312"/>
          <w:sz w:val="32"/>
          <w:szCs w:val="32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金额单位：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万元”，可能导致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以下文字说明中的各项数据取数以及公开</w:t>
      </w:r>
      <w:r>
        <w:rPr>
          <w:rFonts w:hint="eastAsia" w:ascii="仿宋_GB2312" w:hAnsi="仿宋_GB2312" w:eastAsia="仿宋_GB2312" w:cs="仿宋_GB2312"/>
          <w:sz w:val="32"/>
          <w:szCs w:val="32"/>
        </w:rPr>
        <w:t>表格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中的各项数据取数之间存在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0.01的尾数差异。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2、以下文字说明中，部分科目由于预算数为0，无法计算完成年初预算的百分比，故未描述“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完成年初预算的XX%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”。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 w14:paraId="2411C081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一、收入支出决算总体情况说明</w:t>
      </w:r>
    </w:p>
    <w:p w14:paraId="0E0052D8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/>
          <w:iCs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年度收、支总计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445.56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万元。与上年相比，增加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54.66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13.98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%，主要是因为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代收代付湖南城陵矶新港区管委会对企业知识产权资助金26.9万元及湖南省市场监督管理局拨入知识产权经费37.83万元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，导致决算数大于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上年决算数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07DA9E3F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二、收入决算情况说明</w:t>
      </w:r>
    </w:p>
    <w:p w14:paraId="31284672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年度收入合计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445.49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万元，其中：财政拨款收入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317.26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71.22</w:t>
      </w:r>
      <w:r>
        <w:rPr>
          <w:rFonts w:hint="eastAsia" w:ascii="仿宋_GB2312" w:hAnsi="仿宋_GB2312" w:eastAsia="仿宋_GB2312" w:cs="仿宋_GB2312"/>
          <w:sz w:val="32"/>
          <w:szCs w:val="32"/>
        </w:rPr>
        <w:t>%；上级补助收入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%；事业收入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%；经营收入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%；附属单位上缴收入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%；其他收入128.23万元，占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28.78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</w:p>
    <w:p w14:paraId="2D1A2B4D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三、支出决算情况说明</w:t>
      </w:r>
    </w:p>
    <w:p w14:paraId="306115A7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年度支出合计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440.44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309.02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70.16</w:t>
      </w:r>
      <w:r>
        <w:rPr>
          <w:rFonts w:hint="eastAsia" w:ascii="仿宋_GB2312" w:hAnsi="仿宋_GB2312" w:eastAsia="仿宋_GB2312" w:cs="仿宋_GB2312"/>
          <w:sz w:val="32"/>
          <w:szCs w:val="32"/>
        </w:rPr>
        <w:t>%；项目支出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131.42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29.84</w:t>
      </w:r>
      <w:r>
        <w:rPr>
          <w:rFonts w:hint="eastAsia" w:ascii="仿宋_GB2312" w:hAnsi="仿宋_GB2312" w:eastAsia="仿宋_GB2312" w:cs="仿宋_GB2312"/>
          <w:sz w:val="32"/>
          <w:szCs w:val="32"/>
        </w:rPr>
        <w:t>%；上缴上级支出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%；经营支出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%；对附属单位补助支出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</w:p>
    <w:p w14:paraId="69857526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四、财政拨款收入支出决算总体情况说明</w:t>
      </w:r>
    </w:p>
    <w:p w14:paraId="75EEE207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eastAsia" w:ascii="楷体" w:hAnsi="楷体" w:eastAsia="楷体" w:cs="楷体"/>
          <w:i/>
          <w:iCs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年度财政拨款收、支总计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317.26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万元，与上年相比，增加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18.08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万元,增长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6.04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%，主要是因为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湖南省市场监督管理局增加了知识产权专项经费拨付，</w:t>
      </w:r>
      <w:r>
        <w:rPr>
          <w:rFonts w:hint="eastAsia" w:ascii="仿宋_GB2312" w:hAnsi="仿宋_GB2312" w:eastAsia="仿宋_GB2312" w:cs="仿宋_GB2312"/>
          <w:sz w:val="32"/>
          <w:szCs w:val="32"/>
        </w:rPr>
        <w:t>导致决算数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</w:t>
      </w:r>
      <w:r>
        <w:rPr>
          <w:rFonts w:hint="eastAsia" w:ascii="仿宋_GB2312" w:hAnsi="仿宋_GB2312" w:eastAsia="仿宋_GB2312" w:cs="仿宋_GB2312"/>
          <w:sz w:val="32"/>
          <w:szCs w:val="32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上年决算数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4BB30A62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五、一般公共预算财政拨款支出决算情况说明</w:t>
      </w:r>
    </w:p>
    <w:p w14:paraId="60232831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（一）一般公共预算财政拨款支出决算总体情况</w:t>
      </w:r>
    </w:p>
    <w:p w14:paraId="36F15B18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/>
          <w:iCs/>
          <w:color w:val="FF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年度财政拨款支出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317.26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万元，占本年支出合计的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72.03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%，与上年相比，财政拨款支出增加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18.08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万元，增长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7.89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%，主要是因为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湖南省市场监督管理局增加了知识产权专项经费拨付，</w:t>
      </w:r>
      <w:r>
        <w:rPr>
          <w:rFonts w:hint="eastAsia" w:ascii="仿宋_GB2312" w:hAnsi="仿宋_GB2312" w:eastAsia="仿宋_GB2312" w:cs="仿宋_GB2312"/>
          <w:sz w:val="32"/>
          <w:szCs w:val="32"/>
        </w:rPr>
        <w:t>导致决算数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</w:t>
      </w:r>
      <w:r>
        <w:rPr>
          <w:rFonts w:hint="eastAsia" w:ascii="仿宋_GB2312" w:hAnsi="仿宋_GB2312" w:eastAsia="仿宋_GB2312" w:cs="仿宋_GB2312"/>
          <w:sz w:val="32"/>
          <w:szCs w:val="32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上年决算数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66C54C85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（二）一般公共预算财政拨款支出决算结构情况</w:t>
      </w:r>
    </w:p>
    <w:p w14:paraId="100B560A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年度财政拨款支出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317.26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万元，主要用于以下方面：一般公共服务（类）支出262.41万元，占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82.71</w:t>
      </w:r>
      <w:r>
        <w:rPr>
          <w:rFonts w:hint="eastAsia" w:ascii="仿宋_GB2312" w:hAnsi="仿宋_GB2312" w:eastAsia="仿宋_GB2312" w:cs="仿宋_GB2312"/>
          <w:sz w:val="32"/>
          <w:szCs w:val="32"/>
        </w:rPr>
        <w:t>%；社会保障和就业支出24.65万元，占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7.77</w:t>
      </w:r>
      <w:r>
        <w:rPr>
          <w:rFonts w:hint="eastAsia" w:ascii="仿宋_GB2312" w:hAnsi="仿宋_GB2312" w:eastAsia="仿宋_GB2312" w:cs="仿宋_GB2312"/>
          <w:sz w:val="32"/>
          <w:szCs w:val="32"/>
        </w:rPr>
        <w:t>%;卫生健康（类）支出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13.3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4.19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；住房保障支出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16.91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5.33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5CDBADF9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（三）一般公共预算财政拨款支出决算具体情况</w:t>
      </w:r>
    </w:p>
    <w:p w14:paraId="5B07DAE0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年度财政拨款支出年初预算数为</w:t>
      </w:r>
      <w:r>
        <w:rPr>
          <w:rFonts w:hint="eastAsia" w:ascii="宋体" w:hAnsi="Times New Roman" w:cs="宋体"/>
          <w:sz w:val="32"/>
          <w:szCs w:val="32"/>
        </w:rPr>
        <w:t>264.38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万元，支出决算数为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317.26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万元，完成年初预算的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120.00</w:t>
      </w:r>
      <w:r>
        <w:rPr>
          <w:rFonts w:hint="eastAsia" w:ascii="仿宋_GB2312" w:hAnsi="仿宋_GB2312" w:eastAsia="仿宋_GB2312" w:cs="仿宋_GB2312"/>
          <w:sz w:val="32"/>
          <w:szCs w:val="32"/>
        </w:rPr>
        <w:t>%，其中：</w:t>
      </w:r>
    </w:p>
    <w:p w14:paraId="237A4D60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1、一般公共服务（类）知识产权事务（款）其他知识产权事务支出（项）。</w:t>
      </w:r>
    </w:p>
    <w:p w14:paraId="7D12E475">
      <w:pPr>
        <w:pStyle w:val="15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（2011499）年初预算为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37.83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由于年初预算数为0，无法计算百分比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，决算数大于年初预算数的主要原因是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因开展知识产权工作需要，</w:t>
      </w:r>
      <w:r>
        <w:rPr>
          <w:rFonts w:hint="eastAsia" w:ascii="仿宋_GB2312" w:hAnsi="仿宋_GB2312" w:eastAsia="仿宋_GB2312" w:cs="仿宋_GB2312"/>
          <w:sz w:val="32"/>
          <w:szCs w:val="32"/>
        </w:rPr>
        <w:t>年中省局追拨了其他知识产权事务专项资金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，导致决算数大于年初预算数。</w:t>
      </w:r>
    </w:p>
    <w:p w14:paraId="3443D2AF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2、一般公共服务（类）市场监督管理事务（款）行政运行（项）。</w:t>
      </w:r>
    </w:p>
    <w:p w14:paraId="04778D77">
      <w:pPr>
        <w:pStyle w:val="15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13801</w:t>
      </w:r>
      <w:r>
        <w:rPr>
          <w:rFonts w:hint="eastAsia" w:ascii="仿宋_GB2312" w:hAnsi="仿宋_GB2312" w:eastAsia="仿宋_GB2312" w:cs="仿宋_GB2312"/>
          <w:sz w:val="32"/>
          <w:szCs w:val="32"/>
        </w:rPr>
        <w:t>）年初预算为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204.52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215.6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万元，完成年初预算的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105.42</w:t>
      </w:r>
      <w:r>
        <w:rPr>
          <w:rFonts w:hint="eastAsia" w:ascii="仿宋_GB2312" w:hAnsi="仿宋_GB2312" w:eastAsia="仿宋_GB2312" w:cs="仿宋_GB2312"/>
          <w:sz w:val="32"/>
          <w:szCs w:val="32"/>
        </w:rPr>
        <w:t>%，决算数大于年初预算数的主要原因是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市财政追拨人员正常晋级晋档工资、社保、2024年十三月</w:t>
      </w:r>
      <w:r>
        <w:rPr>
          <w:rFonts w:hint="eastAsia" w:ascii="仿宋_GB2312" w:hAnsi="仿宋_GB2312" w:eastAsia="仿宋_GB2312" w:cs="仿宋_GB2312"/>
          <w:sz w:val="32"/>
          <w:szCs w:val="32"/>
        </w:rPr>
        <w:t>工资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及2023年度绩效考核奖金，</w:t>
      </w:r>
      <w:r>
        <w:rPr>
          <w:rFonts w:hint="eastAsia" w:ascii="仿宋_GB2312" w:hAnsi="仿宋_GB2312" w:eastAsia="仿宋_GB2312" w:cs="仿宋_GB2312"/>
          <w:sz w:val="32"/>
          <w:szCs w:val="32"/>
        </w:rPr>
        <w:t>导致决算数大于年初预算数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2799825A">
      <w:pPr>
        <w:pStyle w:val="15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sz w:val="32"/>
          <w:szCs w:val="32"/>
        </w:rPr>
        <w:t>一般公共服务（类）市场监督管理事务（款）质量基础（项）。</w:t>
      </w:r>
    </w:p>
    <w:p w14:paraId="01C361C0">
      <w:pPr>
        <w:pStyle w:val="15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2013810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年初预算为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由于年初预算数为0，无法计算百分比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，决算数大于年初预算数的主要原因是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因开展工作需要，</w:t>
      </w:r>
      <w:r>
        <w:rPr>
          <w:rFonts w:hint="eastAsia" w:ascii="仿宋_GB2312" w:hAnsi="仿宋_GB2312" w:eastAsia="仿宋_GB2312" w:cs="仿宋_GB2312"/>
          <w:sz w:val="32"/>
          <w:szCs w:val="32"/>
        </w:rPr>
        <w:t>年中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</w:rPr>
        <w:t>局追拨了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质量监管</w:t>
      </w:r>
      <w:r>
        <w:rPr>
          <w:rFonts w:hint="eastAsia" w:ascii="仿宋_GB2312" w:hAnsi="仿宋_GB2312" w:eastAsia="仿宋_GB2312" w:cs="仿宋_GB2312"/>
          <w:sz w:val="32"/>
          <w:szCs w:val="32"/>
        </w:rPr>
        <w:t>专项资金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，导致决算数大于年初预算数。</w:t>
      </w:r>
    </w:p>
    <w:p w14:paraId="1CD0FC8B">
      <w:pPr>
        <w:pStyle w:val="15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、一般公共服务（类）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市场监督管理事务</w:t>
      </w:r>
      <w:r>
        <w:rPr>
          <w:rFonts w:hint="eastAsia" w:ascii="仿宋_GB2312" w:hAnsi="仿宋_GB2312" w:eastAsia="仿宋_GB2312" w:cs="仿宋_GB2312"/>
          <w:sz w:val="32"/>
          <w:szCs w:val="32"/>
        </w:rPr>
        <w:t>（款）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其他市场监督管理事务</w:t>
      </w:r>
      <w:r>
        <w:rPr>
          <w:rFonts w:hint="eastAsia" w:ascii="仿宋_GB2312" w:hAnsi="仿宋_GB2312" w:eastAsia="仿宋_GB2312" w:cs="仿宋_GB2312"/>
          <w:sz w:val="32"/>
          <w:szCs w:val="32"/>
        </w:rPr>
        <w:t>（项）。</w:t>
      </w:r>
    </w:p>
    <w:p w14:paraId="6681DE39">
      <w:pPr>
        <w:pStyle w:val="15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（2013899）年初预算为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8.48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由于年初预算数为0，无法计算百分比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决算数大于年初预算数的主要原因是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因监管工作需要</w:t>
      </w:r>
      <w:r>
        <w:rPr>
          <w:rFonts w:hint="eastAsia" w:ascii="仿宋_GB2312" w:hAnsi="仿宋_GB2312" w:eastAsia="仿宋_GB2312" w:cs="仿宋_GB2312"/>
          <w:sz w:val="32"/>
          <w:szCs w:val="32"/>
        </w:rPr>
        <w:t>年中省局追拨了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企业信用监管及双随机一公开监管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执法服装</w:t>
      </w:r>
      <w:r>
        <w:rPr>
          <w:rFonts w:hint="eastAsia" w:ascii="仿宋_GB2312" w:hAnsi="仿宋_GB2312" w:eastAsia="仿宋_GB2312" w:cs="仿宋_GB2312"/>
          <w:sz w:val="32"/>
          <w:szCs w:val="32"/>
        </w:rPr>
        <w:t>等专项资金导致决算数大于年初预算数。</w:t>
      </w:r>
    </w:p>
    <w:p w14:paraId="377B4A59">
      <w:pPr>
        <w:pStyle w:val="15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5、社会保障和就业（类）行政事业单位养老支出（款）机关事业单位基本养老保险缴费支出（项）。</w:t>
      </w:r>
    </w:p>
    <w:p w14:paraId="25685DB5">
      <w:pPr>
        <w:pStyle w:val="15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（2080505）年初预算为23.45万元，支出决算为22.68万元，完成年初预算的96.72%，</w:t>
      </w:r>
      <w:r>
        <w:rPr>
          <w:rFonts w:hint="eastAsia" w:ascii="仿宋_GB2312" w:hAnsi="仿宋_GB2312" w:eastAsia="仿宋_GB2312" w:cs="仿宋_GB2312"/>
          <w:sz w:val="32"/>
          <w:szCs w:val="32"/>
        </w:rPr>
        <w:t>决算数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小</w:t>
      </w:r>
      <w:r>
        <w:rPr>
          <w:rFonts w:hint="eastAsia" w:ascii="仿宋_GB2312" w:hAnsi="仿宋_GB2312" w:eastAsia="仿宋_GB2312" w:cs="仿宋_GB2312"/>
          <w:sz w:val="32"/>
          <w:szCs w:val="32"/>
        </w:rPr>
        <w:t>于年初预算数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主要原因是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年初预算已全额保障了全年的机关事业单位基本养老保险缴费，中途调出1人。</w:t>
      </w:r>
    </w:p>
    <w:p w14:paraId="39DA7EB2">
      <w:pPr>
        <w:pStyle w:val="15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6、社会保障和就业（类）残疾人事业（款）其他残疾人事业支出（项）。</w:t>
      </w:r>
    </w:p>
    <w:p w14:paraId="54559F64">
      <w:pPr>
        <w:pStyle w:val="15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2081199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）年初预算为1.83万元，支出决算为1.83万元，完成年初预算的100%，决算数与年初预算数一致，主要原因是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年初预算已全额保障了全年的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其他残疾人事业支出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。</w:t>
      </w:r>
    </w:p>
    <w:p w14:paraId="0BDEDC24">
      <w:pPr>
        <w:pStyle w:val="15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7、社会保障和就业（类）其他社会保障和就业支出（款）其他社会保障和就业支出（项）。</w:t>
      </w:r>
    </w:p>
    <w:p w14:paraId="7B29DBE2">
      <w:pPr>
        <w:pStyle w:val="15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2089999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）年初预算为0.14万元，支出决算为0.14万元，完成年初预算的100%，决算数与年初预算数一致，主要原因是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年初预算已全额保障了全年的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其他社会保障和就业支出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。</w:t>
      </w:r>
    </w:p>
    <w:p w14:paraId="23E36ACA">
      <w:pPr>
        <w:pStyle w:val="15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8、卫生健康（类）行政事业单位医疗（款）行政单位医疗（项）。</w:t>
      </w:r>
    </w:p>
    <w:p w14:paraId="5FC5ECD4">
      <w:pPr>
        <w:pStyle w:val="15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（2101101）年初预算为8.89万元，支出决算为8.89万元，完成年初预算的100%，决算数与年初预算数一致，主要原因是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年初预算已全额保障了全年的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行政单位医疗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。</w:t>
      </w:r>
    </w:p>
    <w:p w14:paraId="420F7489">
      <w:pPr>
        <w:pStyle w:val="15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9、卫生健康（类）医疗保障管理事务（款）其他医疗保障管理事务支出（项）。</w:t>
      </w:r>
    </w:p>
    <w:p w14:paraId="411701AB">
      <w:pPr>
        <w:pStyle w:val="15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（2101599）年初预算为4.41万元，支出决算为4.41万元，完成年初预算的100%，决算数与年初预算数一致，主要原因是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年初预算已全额保障了全年的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其他医疗保障管理事务支出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。</w:t>
      </w:r>
    </w:p>
    <w:p w14:paraId="25F7119A">
      <w:pPr>
        <w:pStyle w:val="15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10、住房保障支出（类）住房改革支出（款）住房公积金（项）。</w:t>
      </w:r>
    </w:p>
    <w:p w14:paraId="385B9337">
      <w:pPr>
        <w:pStyle w:val="15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（2210201）年初预算为16.91万元，支出决算为16.91万元，完成年初预算的100%，决算数与年初预算数一致，主要原因是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年初预算已全额保障了全年的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住房公积金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。</w:t>
      </w:r>
    </w:p>
    <w:p w14:paraId="373E8BA2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六、一般公共预算财政拨款基本支出决算情况说明</w:t>
      </w:r>
    </w:p>
    <w:p w14:paraId="293AEB61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一般公共预算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财政拨款基本支出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270.46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</w:t>
      </w:r>
    </w:p>
    <w:p w14:paraId="763B7849">
      <w:pPr>
        <w:pStyle w:val="15"/>
        <w:ind w:firstLine="640" w:firstLineChars="200"/>
        <w:rPr>
          <w:rFonts w:hint="eastAsia" w:ascii="仿宋_GB2312" w:hAnsi="仿宋_GB2312" w:eastAsia="仿宋_GB2312" w:cs="仿宋_GB2312"/>
          <w:color w:val="FF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人员经费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229.86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万元，占基本支出的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84.99</w:t>
      </w:r>
      <w:r>
        <w:rPr>
          <w:rFonts w:hint="eastAsia" w:ascii="仿宋_GB2312" w:hAnsi="仿宋_GB2312" w:eastAsia="仿宋_GB2312" w:cs="仿宋_GB2312"/>
          <w:sz w:val="32"/>
          <w:szCs w:val="32"/>
        </w:rPr>
        <w:t>%,主要包括基本工资、津贴补贴、奖金、伙食补助费、 机关事业单位基本养老保险缴费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、职工基本医疗保险缴费、其他社会保障缴费、住房公积金、退休费、 医疗费补助、其他对个人和家庭的补助。</w:t>
      </w:r>
    </w:p>
    <w:p w14:paraId="48A9DFBB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公用经费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40.6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万元，占基本支出的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15.01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%，主要包括办公费、印刷费、邮电费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、物业管理费、差旅费、维修（护）费、培训费、公务接待费、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委托业务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费、工会经费、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福利费、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公务用车运行维护费、其他交通费用、 其他商品和服务支出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238B2762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七、政府性基金预算收入支出决算情况</w:t>
      </w:r>
    </w:p>
    <w:p w14:paraId="7B96C244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年度政府性基金预算财政拨款收入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万元；年初结转和结余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万元；年末结转和结余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 w14:paraId="28BDC7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 w:bidi="ar-SA"/>
        </w:rPr>
        <w:t>八、国有资本经营预算财政拨款支出决算情况</w:t>
      </w:r>
    </w:p>
    <w:p w14:paraId="64D19482">
      <w:pPr>
        <w:widowControl w:val="0"/>
        <w:autoSpaceDE w:val="0"/>
        <w:autoSpaceDN w:val="0"/>
        <w:adjustRightInd w:val="0"/>
        <w:ind w:firstLine="640" w:firstLineChars="20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-SA"/>
        </w:rPr>
        <w:t>2024年度国有资本经营预算财政拨款收入0万元；年初结转和结余0万元；支出0万元，</w:t>
      </w:r>
      <w:r>
        <w:rPr>
          <w:rFonts w:hint="eastAsia" w:ascii="仿宋_GB2312" w:hAnsi="仿宋_GB2312" w:eastAsia="仿宋_GB2312" w:cs="仿宋_GB2312"/>
          <w:i w:val="0"/>
          <w:iCs/>
          <w:color w:val="000000" w:themeColor="text1"/>
          <w:kern w:val="0"/>
          <w:sz w:val="32"/>
          <w:szCs w:val="32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其中：基本支出0万元，项目支出0万元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-SA"/>
        </w:rPr>
        <w:t>；年末结转和结余0万元。</w:t>
      </w:r>
    </w:p>
    <w:p w14:paraId="5876C252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hAnsi="黑体" w:cs="黑体"/>
          <w:b w:val="0"/>
          <w:bCs/>
          <w:sz w:val="32"/>
          <w:szCs w:val="32"/>
          <w:lang w:eastAsia="zh-CN"/>
        </w:rPr>
        <w:t>九、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财政拨款三公经费支出决算情况说明</w:t>
      </w:r>
    </w:p>
    <w:p w14:paraId="6298EF1D">
      <w:pPr>
        <w:pStyle w:val="15"/>
        <w:overflowPunct w:val="0"/>
        <w:autoSpaceDE/>
        <w:autoSpaceDN/>
        <w:spacing w:line="600" w:lineRule="exact"/>
        <w:ind w:firstLine="640" w:firstLineChars="200"/>
        <w:jc w:val="both"/>
        <w:rPr>
          <w:rFonts w:ascii="Times New Roman" w:hAnsi="Times New Roman" w:eastAsia="楷体_GB2312" w:cs="Times New Roman"/>
          <w:b/>
          <w:sz w:val="32"/>
          <w:szCs w:val="32"/>
        </w:rPr>
      </w:pPr>
      <w:r>
        <w:rPr>
          <w:rFonts w:ascii="Times New Roman" w:hAnsi="Times New Roman" w:eastAsia="楷体_GB2312" w:cs="Times New Roman"/>
          <w:b/>
          <w:sz w:val="32"/>
          <w:szCs w:val="32"/>
        </w:rPr>
        <w:t>（一）</w:t>
      </w:r>
      <w:r>
        <w:rPr>
          <w:rFonts w:hint="eastAsia" w:ascii="Times New Roman" w:hAnsi="Times New Roman" w:eastAsia="楷体_GB2312" w:cs="Times New Roman"/>
          <w:b/>
          <w:sz w:val="32"/>
          <w:szCs w:val="32"/>
          <w:lang w:eastAsia="zh-CN"/>
        </w:rPr>
        <w:t>“三公”</w:t>
      </w:r>
      <w:r>
        <w:rPr>
          <w:rFonts w:ascii="Times New Roman" w:hAnsi="Times New Roman" w:eastAsia="楷体_GB2312" w:cs="Times New Roman"/>
          <w:b/>
          <w:sz w:val="32"/>
          <w:szCs w:val="32"/>
        </w:rPr>
        <w:t>经费财政拨款支出决算总体情况说明</w:t>
      </w:r>
    </w:p>
    <w:p w14:paraId="172AE2C1">
      <w:pPr>
        <w:pStyle w:val="15"/>
        <w:overflowPunct w:val="0"/>
        <w:autoSpaceDE/>
        <w:autoSpaceDN/>
        <w:spacing w:line="600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2024年度“三公”经费财政拨款支出预算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 w:cs="Times New Roman"/>
          <w:sz w:val="32"/>
          <w:szCs w:val="32"/>
        </w:rPr>
        <w:t>万元，支出决算为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2.52</w:t>
      </w:r>
      <w:r>
        <w:rPr>
          <w:rFonts w:ascii="Times New Roman" w:hAnsi="Times New Roman" w:eastAsia="仿宋_GB2312" w:cs="Times New Roman"/>
          <w:sz w:val="32"/>
          <w:szCs w:val="32"/>
        </w:rPr>
        <w:t>万元，完成预算的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63</w:t>
      </w:r>
      <w:r>
        <w:rPr>
          <w:rFonts w:ascii="Times New Roman" w:hAnsi="Times New Roman" w:eastAsia="仿宋_GB2312" w:cs="Times New Roman"/>
          <w:sz w:val="32"/>
          <w:szCs w:val="32"/>
        </w:rPr>
        <w:t>%；与上年相比减少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0.36</w:t>
      </w:r>
      <w:r>
        <w:rPr>
          <w:rFonts w:ascii="Times New Roman" w:hAnsi="Times New Roman" w:eastAsia="仿宋_GB2312" w:cs="Times New Roman"/>
          <w:sz w:val="32"/>
          <w:szCs w:val="32"/>
        </w:rPr>
        <w:t>万元，降低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</w:t>
      </w:r>
      <w:r>
        <w:rPr>
          <w:rFonts w:ascii="Times New Roman" w:hAnsi="Times New Roman" w:eastAsia="仿宋_GB2312" w:cs="Times New Roman"/>
          <w:sz w:val="32"/>
          <w:szCs w:val="32"/>
        </w:rPr>
        <w:t>%。决算数小于预算数的主要原因是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按有关政策厉行节约</w:t>
      </w:r>
      <w:r>
        <w:rPr>
          <w:rFonts w:ascii="Times New Roman" w:hAnsi="Times New Roman" w:eastAsia="仿宋_GB2312" w:cs="Times New Roman"/>
          <w:sz w:val="32"/>
          <w:szCs w:val="32"/>
        </w:rPr>
        <w:t>。决算数小于上年数的主要原因是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按有关政策厉行节约，严控“三公经费”支出。</w:t>
      </w:r>
    </w:p>
    <w:p w14:paraId="352D03A7">
      <w:pPr>
        <w:pStyle w:val="15"/>
        <w:overflowPunct w:val="0"/>
        <w:autoSpaceDE/>
        <w:autoSpaceDN/>
        <w:spacing w:line="600" w:lineRule="exact"/>
        <w:ind w:firstLine="640" w:firstLineChars="200"/>
        <w:jc w:val="both"/>
        <w:rPr>
          <w:rFonts w:ascii="Times New Roman" w:hAnsi="Times New Roman" w:eastAsia="楷体_GB2312" w:cs="Times New Roman"/>
          <w:b/>
          <w:sz w:val="32"/>
          <w:szCs w:val="32"/>
        </w:rPr>
      </w:pPr>
      <w:r>
        <w:rPr>
          <w:rFonts w:ascii="Times New Roman" w:hAnsi="Times New Roman" w:eastAsia="楷体_GB2312" w:cs="Times New Roman"/>
          <w:b/>
          <w:sz w:val="32"/>
          <w:szCs w:val="32"/>
        </w:rPr>
        <w:t>（二）</w:t>
      </w:r>
      <w:r>
        <w:rPr>
          <w:rFonts w:hint="eastAsia" w:ascii="Times New Roman" w:hAnsi="Times New Roman" w:eastAsia="楷体_GB2312" w:cs="Times New Roman"/>
          <w:b/>
          <w:sz w:val="32"/>
          <w:szCs w:val="32"/>
          <w:lang w:eastAsia="zh-CN"/>
        </w:rPr>
        <w:t>“三公”</w:t>
      </w:r>
      <w:r>
        <w:rPr>
          <w:rFonts w:ascii="Times New Roman" w:hAnsi="Times New Roman" w:eastAsia="楷体_GB2312" w:cs="Times New Roman"/>
          <w:b/>
          <w:sz w:val="32"/>
          <w:szCs w:val="32"/>
        </w:rPr>
        <w:t>经费财政拨款支出决算具体情况说明</w:t>
      </w:r>
    </w:p>
    <w:p w14:paraId="7245E844">
      <w:pPr>
        <w:pStyle w:val="15"/>
        <w:overflowPunct w:val="0"/>
        <w:autoSpaceDE/>
        <w:autoSpaceDN/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1.因公出国（境）费支出预算为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_GB2312" w:cs="Times New Roman"/>
          <w:sz w:val="32"/>
          <w:szCs w:val="32"/>
        </w:rPr>
        <w:t>万元，支出决算为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_GB2312" w:cs="Times New Roman"/>
          <w:sz w:val="32"/>
          <w:szCs w:val="32"/>
        </w:rPr>
        <w:t>万元，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决算数等于预算数的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主要原因是我单位严格按预算执行决算</w:t>
      </w:r>
      <w:r>
        <w:rPr>
          <w:rFonts w:ascii="Times New Roman" w:hAnsi="Times New Roman" w:eastAsia="仿宋_GB2312" w:cs="Times New Roman"/>
          <w:sz w:val="32"/>
          <w:szCs w:val="32"/>
        </w:rPr>
        <w:t>；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与上年一致，无增减变动，主要原因是未安排因公出国（境）活动。</w:t>
      </w:r>
      <w:r>
        <w:rPr>
          <w:rFonts w:ascii="Times New Roman" w:hAnsi="Times New Roman" w:eastAsia="仿宋_GB2312" w:cs="Times New Roman"/>
          <w:sz w:val="32"/>
          <w:szCs w:val="32"/>
        </w:rPr>
        <w:t>2024年度安排因公出国（境）团组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_GB2312" w:cs="Times New Roman"/>
          <w:sz w:val="32"/>
          <w:szCs w:val="32"/>
        </w:rPr>
        <w:t>个，累计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_GB2312" w:cs="Times New Roman"/>
          <w:sz w:val="32"/>
          <w:szCs w:val="32"/>
        </w:rPr>
        <w:t>人次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65978CAB">
      <w:pPr>
        <w:pStyle w:val="15"/>
        <w:overflowPunct w:val="0"/>
        <w:autoSpaceDE/>
        <w:autoSpaceDN/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2.公务用车购置费及运行维护费支出预算为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 w:cs="Times New Roman"/>
          <w:sz w:val="32"/>
          <w:szCs w:val="32"/>
        </w:rPr>
        <w:t>万元，支出决算为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2.3</w:t>
      </w:r>
      <w:r>
        <w:rPr>
          <w:rFonts w:ascii="Times New Roman" w:hAnsi="Times New Roman" w:eastAsia="仿宋_GB2312" w:cs="Times New Roman"/>
          <w:sz w:val="32"/>
          <w:szCs w:val="32"/>
        </w:rPr>
        <w:t>万元，完成预算的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76.67</w:t>
      </w:r>
      <w:r>
        <w:rPr>
          <w:rFonts w:ascii="Times New Roman" w:hAnsi="Times New Roman" w:eastAsia="仿宋_GB2312" w:cs="Times New Roman"/>
          <w:sz w:val="32"/>
          <w:szCs w:val="32"/>
        </w:rPr>
        <w:t>%；与上年相比减少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0.06</w:t>
      </w:r>
      <w:r>
        <w:rPr>
          <w:rFonts w:ascii="Times New Roman" w:hAnsi="Times New Roman" w:eastAsia="仿宋_GB2312" w:cs="Times New Roman"/>
          <w:sz w:val="32"/>
          <w:szCs w:val="32"/>
        </w:rPr>
        <w:t>万元，降低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仿宋_GB2312" w:cs="Times New Roman"/>
          <w:sz w:val="32"/>
          <w:szCs w:val="32"/>
        </w:rPr>
        <w:t>%。其中：</w:t>
      </w:r>
    </w:p>
    <w:p w14:paraId="1D00DC20">
      <w:pPr>
        <w:pStyle w:val="15"/>
        <w:overflowPunct w:val="0"/>
        <w:autoSpaceDE/>
        <w:autoSpaceDN/>
        <w:spacing w:line="600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公务用车购置费支出预算为0万元，支出决算为0万元，决算数等于预算数的主要原因是我单位严格按预算执行决算；与上年一致，无增减变动，主要原因是两年均未购置公务用车。本单位更新公务用车0辆。</w:t>
      </w:r>
    </w:p>
    <w:p w14:paraId="1D422951">
      <w:pPr>
        <w:pStyle w:val="15"/>
        <w:overflowPunct w:val="0"/>
        <w:autoSpaceDE/>
        <w:autoSpaceDN/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公务用车运行维护费支出预算为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 w:cs="Times New Roman"/>
          <w:sz w:val="32"/>
          <w:szCs w:val="32"/>
        </w:rPr>
        <w:t>万元，支出决算为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2.3</w:t>
      </w:r>
      <w:r>
        <w:rPr>
          <w:rFonts w:ascii="Times New Roman" w:hAnsi="Times New Roman" w:eastAsia="仿宋_GB2312" w:cs="Times New Roman"/>
          <w:sz w:val="32"/>
          <w:szCs w:val="32"/>
        </w:rPr>
        <w:t>万元，</w:t>
      </w:r>
    </w:p>
    <w:p w14:paraId="75A272CE">
      <w:pPr>
        <w:pStyle w:val="15"/>
        <w:overflowPunct w:val="0"/>
        <w:autoSpaceDE/>
        <w:autoSpaceDN/>
        <w:spacing w:line="600" w:lineRule="exact"/>
        <w:ind w:firstLine="640" w:firstLineChars="200"/>
        <w:jc w:val="both"/>
        <w:rPr>
          <w:rFonts w:ascii="Times New Roman" w:hAnsi="Times New Roman" w:eastAsia="楷体" w:cs="Times New Roman"/>
          <w:b/>
          <w:bCs/>
          <w:i/>
          <w:color w:val="FF0000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主要是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公务车辆的维修维护、燃油、保险</w:t>
      </w:r>
      <w:r>
        <w:rPr>
          <w:rFonts w:ascii="Times New Roman" w:hAnsi="Times New Roman" w:eastAsia="仿宋_GB2312" w:cs="Times New Roman"/>
          <w:sz w:val="32"/>
          <w:szCs w:val="32"/>
        </w:rPr>
        <w:t>支出，完成预算的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76.67</w:t>
      </w:r>
      <w:r>
        <w:rPr>
          <w:rFonts w:ascii="Times New Roman" w:hAnsi="Times New Roman" w:eastAsia="仿宋_GB2312" w:cs="Times New Roman"/>
          <w:sz w:val="32"/>
          <w:szCs w:val="32"/>
        </w:rPr>
        <w:t>%；与上年相比减少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0.06</w:t>
      </w:r>
      <w:r>
        <w:rPr>
          <w:rFonts w:ascii="Times New Roman" w:hAnsi="Times New Roman" w:eastAsia="仿宋_GB2312" w:cs="Times New Roman"/>
          <w:sz w:val="32"/>
          <w:szCs w:val="32"/>
        </w:rPr>
        <w:t>万元，降低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仿宋_GB2312" w:cs="Times New Roman"/>
          <w:sz w:val="32"/>
          <w:szCs w:val="32"/>
        </w:rPr>
        <w:t>%。决算数小于预算数的主要原因是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厉行节约严格控制公务用车运行维护费支出</w:t>
      </w:r>
      <w:r>
        <w:rPr>
          <w:rFonts w:ascii="Times New Roman" w:hAnsi="Times New Roman" w:eastAsia="仿宋_GB2312" w:cs="Times New Roman"/>
          <w:sz w:val="32"/>
          <w:szCs w:val="32"/>
        </w:rPr>
        <w:t>。决算数小于上年数的主要原因是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按有关政策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厉行节约严格控制公务用车运行维护费支出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截止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到</w:t>
      </w:r>
      <w:r>
        <w:rPr>
          <w:rFonts w:ascii="Times New Roman" w:hAnsi="Times New Roman" w:eastAsia="仿宋_GB2312" w:cs="Times New Roman"/>
          <w:sz w:val="32"/>
          <w:szCs w:val="32"/>
        </w:rPr>
        <w:t>2024年12月31日，我单位开支财政拨款的公务用车保有量为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仿宋_GB2312" w:cs="Times New Roman"/>
          <w:sz w:val="32"/>
          <w:szCs w:val="32"/>
        </w:rPr>
        <w:t>辆。</w:t>
      </w:r>
    </w:p>
    <w:p w14:paraId="4B35674B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800" w:firstLineChars="25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公务接待费支出预算为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仿宋_GB2312" w:cs="Times New Roman"/>
          <w:sz w:val="32"/>
          <w:szCs w:val="32"/>
        </w:rPr>
        <w:t>万元，支出决算为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0.22</w:t>
      </w:r>
      <w:r>
        <w:rPr>
          <w:rFonts w:ascii="Times New Roman" w:hAnsi="Times New Roman" w:eastAsia="仿宋_GB2312" w:cs="Times New Roman"/>
          <w:sz w:val="32"/>
          <w:szCs w:val="32"/>
        </w:rPr>
        <w:t>万元，完成预算的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22</w:t>
      </w:r>
      <w:r>
        <w:rPr>
          <w:rFonts w:ascii="Times New Roman" w:hAnsi="Times New Roman" w:eastAsia="仿宋_GB2312" w:cs="Times New Roman"/>
          <w:sz w:val="32"/>
          <w:szCs w:val="32"/>
        </w:rPr>
        <w:t>%；与上年相比减少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0.31</w:t>
      </w:r>
      <w:r>
        <w:rPr>
          <w:rFonts w:ascii="Times New Roman" w:hAnsi="Times New Roman" w:eastAsia="仿宋_GB2312" w:cs="Times New Roman"/>
          <w:sz w:val="32"/>
          <w:szCs w:val="32"/>
        </w:rPr>
        <w:t>万元，降低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31</w:t>
      </w:r>
      <w:r>
        <w:rPr>
          <w:rFonts w:ascii="Times New Roman" w:hAnsi="Times New Roman" w:eastAsia="仿宋_GB2312" w:cs="Times New Roman"/>
          <w:sz w:val="32"/>
          <w:szCs w:val="32"/>
        </w:rPr>
        <w:t>%。决算数小于预算数的主要原因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是按有关政策厉行节约，严控公务接待支出</w:t>
      </w:r>
      <w:r>
        <w:rPr>
          <w:rFonts w:ascii="Times New Roman" w:hAnsi="Times New Roman" w:eastAsia="仿宋_GB2312" w:cs="Times New Roman"/>
          <w:sz w:val="32"/>
          <w:szCs w:val="32"/>
        </w:rPr>
        <w:t>。决算数小于上年数的主要原因是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按有关政策厉行节约，严控公务接待支出</w:t>
      </w:r>
      <w:r>
        <w:rPr>
          <w:rFonts w:ascii="Times New Roman" w:hAnsi="Times New Roman" w:eastAsia="仿宋_GB2312" w:cs="Times New Roman"/>
          <w:sz w:val="32"/>
          <w:szCs w:val="32"/>
        </w:rPr>
        <w:t>。2024年度共接待来访团组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仿宋_GB2312" w:cs="Times New Roman"/>
          <w:sz w:val="32"/>
          <w:szCs w:val="32"/>
        </w:rPr>
        <w:t>个、来宾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31</w:t>
      </w:r>
      <w:r>
        <w:rPr>
          <w:rFonts w:ascii="Times New Roman" w:hAnsi="Times New Roman" w:eastAsia="仿宋_GB2312" w:cs="Times New Roman"/>
          <w:sz w:val="32"/>
          <w:szCs w:val="32"/>
        </w:rPr>
        <w:t>人次，主要是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学习交流、检查</w:t>
      </w:r>
      <w:r>
        <w:rPr>
          <w:rFonts w:ascii="Times New Roman" w:hAnsi="Times New Roman" w:eastAsia="仿宋_GB2312" w:cs="Times New Roman"/>
          <w:sz w:val="32"/>
          <w:szCs w:val="32"/>
        </w:rPr>
        <w:t>发生的接待支出。</w:t>
      </w:r>
    </w:p>
    <w:p w14:paraId="3D06ACE2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b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、关于机关运行经费支出说明</w:t>
      </w:r>
    </w:p>
    <w:p w14:paraId="38BA3ACD">
      <w:pPr>
        <w:pStyle w:val="15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本部门202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年度机关运行经费支出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40.6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比年初预算数减少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3.25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万元，降低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7.41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%。主要原因是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压减公用经费中的印刷费、会议费、培训费、公务接待费等。</w:t>
      </w:r>
    </w:p>
    <w:p w14:paraId="39684EF2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十</w:t>
      </w:r>
      <w:r>
        <w:rPr>
          <w:rFonts w:hint="eastAsia" w:hAnsi="黑体" w:cs="黑体"/>
          <w:b w:val="0"/>
          <w:bCs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、一般性支出情况说明</w:t>
      </w:r>
    </w:p>
    <w:p w14:paraId="5E588319">
      <w:pPr>
        <w:pStyle w:val="15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年度，会议费年初预算0.5万元，支出决算为0万元，完成年初预算的0%。</w:t>
      </w:r>
    </w:p>
    <w:p w14:paraId="6BF19328">
      <w:pPr>
        <w:widowControl w:val="0"/>
        <w:autoSpaceDE w:val="0"/>
        <w:autoSpaceDN w:val="0"/>
        <w:adjustRightInd w:val="0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培训费年初预算1万元，支出决算为0.29万元，完成年初预算的29%。用于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参加业务培训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，人数1人，内容为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参加工作业务培训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。</w:t>
      </w:r>
    </w:p>
    <w:p w14:paraId="362F9A0F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楷体" w:hAnsi="楷体" w:eastAsia="楷体" w:cs="楷体"/>
          <w:b/>
          <w:bCs/>
          <w:i w:val="0"/>
          <w:iCs w:val="0"/>
          <w:color w:val="FF0000"/>
          <w:kern w:val="0"/>
          <w:sz w:val="40"/>
          <w:szCs w:val="4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本单位无举办节庆、晚会、论坛、赛事等活动的预算和支出决算数。</w:t>
      </w:r>
    </w:p>
    <w:p w14:paraId="252D0BEE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十</w:t>
      </w:r>
      <w:r>
        <w:rPr>
          <w:rFonts w:hint="eastAsia" w:hAnsi="黑体" w:cs="黑体"/>
          <w:b w:val="0"/>
          <w:bCs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、关于政府采购支出说明</w:t>
      </w:r>
    </w:p>
    <w:p w14:paraId="087F52B8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宋体" w:hAnsi="宋体" w:eastAsia="宋体"/>
          <w:i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本部门202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年度政府采购支出总额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76.4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万元，其中：政府采购货物支出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19.51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万元、政府采购工程支出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万元、政府采购服务支出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56.89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万元。授予中小企业合同金额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76.4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万元，占政府采购支出总额的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%，其中：授予小微企业合同金额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48.69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授予中小企业合同金额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63.73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%。</w:t>
      </w:r>
      <w:r>
        <w:rPr>
          <w:rFonts w:hint="eastAsia" w:ascii="仿宋_GB2312" w:hAnsi="仿宋_GB2312" w:eastAsia="仿宋_GB2312" w:cs="仿宋_GB2312"/>
          <w:sz w:val="32"/>
          <w:szCs w:val="32"/>
        </w:rPr>
        <w:t>货物采购授予中小企业合同金额占货物支出金额的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%，工程采购授予中小企业合同金额占工程支出金额的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比重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由于合同金额为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0，故无法计算占比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服务采购授予中小企业合同金额占服务支出金额的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%。</w:t>
      </w:r>
    </w:p>
    <w:p w14:paraId="246A0DF6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十</w:t>
      </w:r>
      <w:r>
        <w:rPr>
          <w:rFonts w:hint="eastAsia" w:hAnsi="黑体" w:cs="黑体"/>
          <w:b w:val="0"/>
          <w:bCs/>
          <w:color w:val="auto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  <w:t>、关于国有资产占用情况说明</w:t>
      </w:r>
    </w:p>
    <w:p w14:paraId="0044E386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截至202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年12月31日，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共有车辆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辆，其中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，副部（省）级及以上领导用车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负责人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机要通信用车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辆、应急保障用车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辆、执法执勤用车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辆、特种专业技术用车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离退休干部服务用车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辆、其他用车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辆；单位价值100万元以上设备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（不含车辆）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台（套）。</w:t>
      </w:r>
    </w:p>
    <w:p w14:paraId="0A8224AC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</w:rPr>
        <w:t>十</w:t>
      </w:r>
      <w:r>
        <w:rPr>
          <w:rFonts w:hint="eastAsia" w:hAnsi="黑体" w:cs="黑体"/>
          <w:b w:val="0"/>
          <w:bCs/>
          <w:color w:val="auto"/>
          <w:sz w:val="32"/>
          <w:szCs w:val="32"/>
          <w:highlight w:val="none"/>
          <w:lang w:eastAsia="zh-CN"/>
        </w:rPr>
        <w:t>四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</w:rPr>
        <w:t>、关于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</w:rPr>
        <w:t>202</w:t>
      </w:r>
      <w:r>
        <w:rPr>
          <w:rFonts w:hint="eastAsia" w:ascii="Times New Roman" w:hAnsi="Times New Roman" w:eastAsia="仿宋_GB2312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</w:rPr>
        <w:t>年度</w:t>
      </w:r>
      <w:r>
        <w:rPr>
          <w:rFonts w:hint="eastAsia" w:hAnsi="黑体" w:cs="黑体"/>
          <w:b w:val="0"/>
          <w:bCs/>
          <w:color w:val="auto"/>
          <w:sz w:val="32"/>
          <w:szCs w:val="32"/>
          <w:highlight w:val="none"/>
          <w:lang w:eastAsia="zh-CN"/>
        </w:rPr>
        <w:t>预算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</w:rPr>
        <w:t>绩效</w:t>
      </w:r>
      <w:r>
        <w:rPr>
          <w:rFonts w:hint="eastAsia" w:hAnsi="黑体" w:cs="黑体"/>
          <w:b w:val="0"/>
          <w:bCs/>
          <w:color w:val="auto"/>
          <w:sz w:val="32"/>
          <w:szCs w:val="32"/>
          <w:highlight w:val="none"/>
          <w:lang w:eastAsia="zh-CN"/>
        </w:rPr>
        <w:t>管理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</w:rPr>
        <w:t>情况的说明</w:t>
      </w:r>
    </w:p>
    <w:p w14:paraId="0EB60D67">
      <w:pPr>
        <w:overflowPunct w:val="0"/>
        <w:spacing w:line="600" w:lineRule="exact"/>
        <w:ind w:firstLine="640" w:firstLineChars="200"/>
        <w:rPr>
          <w:rFonts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/>
          <w:bCs/>
          <w:sz w:val="32"/>
          <w:szCs w:val="32"/>
        </w:rPr>
        <w:t>（一）绩效评价工作开展情况</w:t>
      </w:r>
    </w:p>
    <w:p w14:paraId="2559DDC6">
      <w:pPr>
        <w:overflowPunct w:val="0"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Times New Roman" w:hAnsi="Times New Roman" w:eastAsia="仿宋_GB2312" w:cs="Times New Roman"/>
          <w:b/>
          <w:bCs/>
          <w:kern w:val="0"/>
          <w:sz w:val="32"/>
          <w:szCs w:val="32"/>
          <w:lang w:val="en-US" w:eastAsia="zh-CN"/>
        </w:rPr>
        <w:t>绩</w:t>
      </w:r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  <w:t>效自评开展情况。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组织对2024年度本单位整体支出开展绩效自评，涉及项目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 个，共涉及资金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131.42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万元。其中，一般公共预算项目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个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46.8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万元，占一般公共预算支出总额的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14.75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%；政府性基金预算项目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个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（由于政府性基金预算项目支出总额为0，故无法计算占政府性基金预算项目支出总额的比重）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；国有资本经营预算项目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个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 万元，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（由于国有资本经营预算项目支出总额为0，故无法计算占国有资本经营预算项目支出总额的比重）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；</w:t>
      </w:r>
      <w:r>
        <w:rPr>
          <w:rFonts w:ascii="Times New Roman" w:hAnsi="Times New Roman" w:eastAsia="仿宋_GB2312" w:cs="Times New Roman"/>
          <w:kern w:val="0"/>
          <w:sz w:val="32"/>
          <w:szCs w:val="32"/>
          <w:highlight w:val="none"/>
        </w:rPr>
        <w:t>社会保险基金预算项目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  <w:highlight w:val="none"/>
        </w:rPr>
        <w:t xml:space="preserve"> 个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（由于</w:t>
      </w:r>
      <w:r>
        <w:rPr>
          <w:rFonts w:ascii="Times New Roman" w:hAnsi="Times New Roman" w:eastAsia="仿宋_GB2312" w:cs="Times New Roman"/>
          <w:kern w:val="0"/>
          <w:sz w:val="32"/>
          <w:szCs w:val="32"/>
          <w:highlight w:val="none"/>
        </w:rPr>
        <w:t>社会保险基金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预算项目支出总额为0，故无法计算占</w:t>
      </w:r>
      <w:r>
        <w:rPr>
          <w:rFonts w:ascii="Times New Roman" w:hAnsi="Times New Roman" w:eastAsia="仿宋_GB2312" w:cs="Times New Roman"/>
          <w:kern w:val="0"/>
          <w:sz w:val="32"/>
          <w:szCs w:val="32"/>
          <w:highlight w:val="none"/>
        </w:rPr>
        <w:t>社会保险基金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预算项目支出总额的比重）</w:t>
      </w:r>
      <w:r>
        <w:rPr>
          <w:rFonts w:ascii="Times New Roman" w:hAnsi="Times New Roman" w:eastAsia="仿宋_GB2312" w:cs="Times New Roman"/>
          <w:kern w:val="0"/>
          <w:sz w:val="32"/>
          <w:szCs w:val="32"/>
          <w:highlight w:val="none"/>
        </w:rPr>
        <w:t>。</w:t>
      </w:r>
    </w:p>
    <w:p w14:paraId="2529BB90">
      <w:pPr>
        <w:widowControl/>
        <w:spacing w:line="64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支出的绩效目标完成情况，实现产出和取得效益的情况。2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024年度我局各项指标在市局组织开展的绩效考核中全部良好。能严格按照国家、省、市及市局、分局本级财务管理制度要求，严格预算执行分析管理，严控“三公经费”及各类商品服务经费支出，各项经费支出绩效指标均达到了年初预算绩效目标设置标准要求，部门整体支出管理情况得到了提升，较好地完成了市场监管领域各项工作，</w:t>
      </w:r>
      <w:r>
        <w:rPr>
          <w:rFonts w:hint="eastAsia" w:ascii="仿宋_GB2312" w:eastAsia="仿宋_GB2312" w:cs="仿宋_GB2312"/>
          <w:color w:val="000000"/>
          <w:sz w:val="32"/>
          <w:szCs w:val="32"/>
          <w:shd w:val="clear" w:color="auto" w:fill="FFFFFF"/>
        </w:rPr>
        <w:t>单位</w:t>
      </w:r>
      <w:r>
        <w:rPr>
          <w:rFonts w:hint="eastAsia" w:ascii="Arial" w:hAnsi="Arial" w:eastAsia="仿宋_GB2312" w:cs="仿宋_GB2312"/>
          <w:sz w:val="32"/>
          <w:szCs w:val="32"/>
        </w:rPr>
        <w:t>整体支出绩效情况如下：</w:t>
      </w:r>
    </w:p>
    <w:p w14:paraId="1718DD14">
      <w:pPr>
        <w:pStyle w:val="16"/>
        <w:widowControl/>
        <w:spacing w:line="640" w:lineRule="exact"/>
        <w:ind w:firstLine="640"/>
        <w:rPr>
          <w:rFonts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/>
          <w:sz w:val="32"/>
          <w:szCs w:val="32"/>
        </w:rPr>
        <w:t>（</w:t>
      </w:r>
      <w:r>
        <w:rPr>
          <w:rFonts w:hint="eastAsia" w:ascii="Times New Roman" w:hAnsi="Times New Roman" w:eastAsia="楷体_GB231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楷体_GB2312"/>
          <w:sz w:val="32"/>
          <w:szCs w:val="32"/>
        </w:rPr>
        <w:t>）整体目标完成情况</w:t>
      </w:r>
    </w:p>
    <w:p w14:paraId="07137173">
      <w:pPr>
        <w:spacing w:line="600" w:lineRule="exact"/>
        <w:ind w:firstLine="640" w:firstLineChars="200"/>
        <w:jc w:val="left"/>
        <w:rPr>
          <w:rFonts w:ascii="Times New Roman" w:hAnsi="Times New Roman" w:eastAsia="楷体_GB2312"/>
          <w:sz w:val="32"/>
          <w:szCs w:val="32"/>
        </w:rPr>
      </w:pPr>
      <w:r>
        <w:rPr>
          <w:rFonts w:ascii="仿宋_GB2312" w:hAnsi="仿宋_GB2312" w:eastAsia="仿宋_GB2312" w:cs="宋体"/>
          <w:kern w:val="2"/>
          <w:sz w:val="32"/>
          <w:szCs w:val="32"/>
        </w:rPr>
        <w:t>202</w:t>
      </w:r>
      <w:r>
        <w:rPr>
          <w:rFonts w:hint="eastAsia" w:ascii="仿宋_GB2312" w:hAnsi="仿宋_GB2312" w:eastAsia="仿宋_GB2312" w:cs="宋体"/>
          <w:kern w:val="2"/>
          <w:sz w:val="32"/>
          <w:szCs w:val="32"/>
        </w:rPr>
        <w:t>4</w:t>
      </w:r>
      <w:r>
        <w:rPr>
          <w:rFonts w:ascii="仿宋_GB2312" w:hAnsi="仿宋_GB2312" w:eastAsia="仿宋_GB2312" w:cs="宋体"/>
          <w:kern w:val="2"/>
          <w:sz w:val="32"/>
          <w:szCs w:val="32"/>
        </w:rPr>
        <w:t>年</w:t>
      </w:r>
      <w:r>
        <w:rPr>
          <w:rFonts w:hint="eastAsia" w:ascii="仿宋_GB2312" w:hAnsi="仿宋_GB2312" w:eastAsia="仿宋_GB2312" w:cs="宋体"/>
          <w:kern w:val="2"/>
          <w:sz w:val="32"/>
          <w:szCs w:val="32"/>
        </w:rPr>
        <w:t>我局</w:t>
      </w:r>
      <w:r>
        <w:rPr>
          <w:rFonts w:hint="eastAsia" w:ascii="仿宋_GB2312" w:hAnsi="����" w:eastAsia="仿宋_GB2312" w:cs="宋体"/>
          <w:color w:val="000000"/>
          <w:sz w:val="32"/>
          <w:szCs w:val="32"/>
        </w:rPr>
        <w:t>年度总收入445.49万元，实际经费支出为440.4</w:t>
      </w:r>
      <w:r>
        <w:rPr>
          <w:rFonts w:hint="eastAsia" w:ascii="仿宋_GB2312" w:hAnsi="����" w:eastAsia="仿宋_GB2312" w:cs="宋体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����" w:eastAsia="仿宋_GB2312" w:cs="宋体"/>
          <w:color w:val="000000"/>
          <w:sz w:val="32"/>
          <w:szCs w:val="32"/>
        </w:rPr>
        <w:t>万元，结转结余资金为5.13万元（含上年0.07万元），全年经费支出严格控制在预算绩效目标设定范围内。</w:t>
      </w:r>
      <w:r>
        <w:rPr>
          <w:rFonts w:ascii="仿宋_GB2312" w:hAnsi="仿宋_GB2312" w:eastAsia="仿宋_GB2312" w:cs="宋体"/>
          <w:kern w:val="2"/>
          <w:sz w:val="32"/>
          <w:szCs w:val="32"/>
        </w:rPr>
        <w:t>对照年初绩效目标高质量完成了辖区内市场监管工作，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办理登记注册5292件，无行政许可争异及申请复议事项。</w:t>
      </w:r>
      <w:r>
        <w:rPr>
          <w:rFonts w:hint="eastAsia" w:ascii="仿宋_GB2312" w:hAnsi="仿宋_GB2312" w:eastAsia="仿宋_GB2312" w:cs="宋体"/>
          <w:kern w:val="2"/>
          <w:sz w:val="32"/>
          <w:szCs w:val="32"/>
        </w:rPr>
        <w:t>主动深入企业开展服务1700多家次，开展监管检查覆盖率100%。</w:t>
      </w:r>
      <w:r>
        <w:rPr>
          <w:rFonts w:hint="eastAsia" w:ascii="仿宋_GB2312" w:hAnsi="仿宋_GB2312" w:eastAsia="仿宋_GB2312" w:cs="仿宋_GB2312"/>
          <w:sz w:val="32"/>
          <w:szCs w:val="40"/>
        </w:rPr>
        <w:t>新增授权</w:t>
      </w:r>
      <w:r>
        <w:rPr>
          <w:rFonts w:hint="eastAsia" w:ascii="仿宋_GB2312" w:hAnsi="����" w:eastAsia="仿宋_GB2312" w:cs="宋体"/>
          <w:color w:val="000000"/>
          <w:sz w:val="32"/>
          <w:szCs w:val="32"/>
        </w:rPr>
        <w:t>专利267件，其中发明专利93件，同比增长率32.86%。受理各类消费投诉、咨询、举报、信访504起，市长信箱、信访件4件，办结率100%。12315效能评估排在全市第一位。全年无食品药品及安全生产事故。</w:t>
      </w:r>
    </w:p>
    <w:p w14:paraId="0D6C4FAA">
      <w:pPr>
        <w:pStyle w:val="16"/>
        <w:widowControl/>
        <w:spacing w:line="640" w:lineRule="exact"/>
        <w:ind w:firstLine="640"/>
        <w:rPr>
          <w:rFonts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/>
          <w:sz w:val="32"/>
          <w:szCs w:val="32"/>
        </w:rPr>
        <w:t>（</w:t>
      </w:r>
      <w:r>
        <w:rPr>
          <w:rFonts w:hint="eastAsia" w:ascii="Times New Roman" w:hAnsi="Times New Roman" w:eastAsia="楷体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楷体_GB2312"/>
          <w:sz w:val="32"/>
          <w:szCs w:val="32"/>
        </w:rPr>
        <w:t>）资金投入产出效益</w:t>
      </w:r>
    </w:p>
    <w:p w14:paraId="124DE888">
      <w:pPr>
        <w:spacing w:line="600" w:lineRule="exact"/>
        <w:ind w:firstLine="640" w:firstLineChars="200"/>
        <w:jc w:val="left"/>
        <w:rPr>
          <w:rFonts w:hint="eastAsia" w:ascii="仿宋_GB2312" w:hAnsi="����" w:eastAsia="仿宋_GB2312" w:cs="宋体"/>
          <w:color w:val="000000"/>
          <w:sz w:val="32"/>
          <w:szCs w:val="32"/>
        </w:rPr>
      </w:pPr>
      <w:r>
        <w:rPr>
          <w:rFonts w:hint="eastAsia" w:ascii="仿宋_GB2312" w:hAnsi="仿宋_GB2312" w:eastAsia="仿宋_GB2312" w:cs="宋体"/>
          <w:kern w:val="2"/>
          <w:sz w:val="32"/>
          <w:szCs w:val="32"/>
        </w:rPr>
        <w:t>①持</w:t>
      </w:r>
      <w:r>
        <w:rPr>
          <w:rFonts w:hint="eastAsia" w:ascii="仿宋_GB2312" w:hAnsi="����" w:eastAsia="仿宋_GB2312" w:cs="宋体"/>
          <w:color w:val="000000"/>
          <w:sz w:val="32"/>
          <w:szCs w:val="32"/>
        </w:rPr>
        <w:t>续深化商事制度改革，做优做实营商环境和发展环境。认真落实《新公司》、《公司注册资金》法律法规改革，落地落实“高效办成一件事”，推动营业执照与食品经营等涉企审批事项实现“证照联办”；做好自贸片区复制推广典型经验案例；推进湖南省国资委关于深化国有企业监事会改革有关事项的通知（湘国资董事【2024】83号）文件精神，做强做优国有资本和国有企业提拱支撑保障。联合相关部门开展第三届个体工商户活动月，宣讲国家总局政策，激发个体户创业，大力推动辖区个体户“名特优新”培育平台申报，积极推广国家总局对个体户扶持政策；积极主动履职承接省、市部门事项放权赋权，有效、有序稳步推进。今年分局办理登记注册5292件，其中名称自主申报1032件，市场主体设立、变更、注销2711件，其它登记事项91件，撤销登记办理1458件；食品经营、生产办理101件，特种设备登记使用办理576件，档案查询1210件，无行政许可争异及申请复议事项。</w:t>
      </w:r>
    </w:p>
    <w:p w14:paraId="73746ED3">
      <w:pPr>
        <w:spacing w:line="600" w:lineRule="exact"/>
        <w:ind w:firstLine="640" w:firstLineChars="200"/>
        <w:jc w:val="left"/>
        <w:rPr>
          <w:rFonts w:hint="eastAsia" w:ascii="仿宋_GB2312" w:hAnsi="仿宋_GB2312" w:eastAsia="仿宋_GB2312" w:cs="宋体"/>
          <w:kern w:val="2"/>
          <w:sz w:val="32"/>
          <w:szCs w:val="32"/>
        </w:rPr>
      </w:pPr>
      <w:r>
        <w:rPr>
          <w:rFonts w:hint="eastAsia" w:ascii="仿宋_GB2312" w:hAnsi="仿宋_GB2312" w:eastAsia="仿宋_GB2312" w:cs="宋体"/>
          <w:kern w:val="2"/>
          <w:sz w:val="32"/>
          <w:szCs w:val="32"/>
        </w:rPr>
        <w:t>②强化企业信用监管，扎实开展市场监管领域优化营商环境工作。一是大力推进“双随机，一公开”监管，减少对监管对象的打扰，大力营造“无事不扰”营商环境，开展专项抽查计划8个，综合抽查计划3个，联合抽查计划2个，做到“进一次门，查多项事”；二是抓好市场主体年报工作，到6月30日，我局企业年报率99.64%，个体年报率94.92%，排名全市第一；三是深化开展信用监管工作实效，按照要求核查3家海关企业的经营地址状况，积极开展校外托管机构大排查行动，清理校外托管机构参与相关经营服务行为。四是加强信用监管方面的宣传培训，利用3.15活动和知识产权宣传周，在港区集中开展了《公司法》、《企业信息公示暂行条例》等法律法规的普法宣传。</w:t>
      </w:r>
    </w:p>
    <w:p w14:paraId="18CF207A">
      <w:pPr>
        <w:spacing w:line="600" w:lineRule="exact"/>
        <w:ind w:firstLine="640" w:firstLineChars="200"/>
        <w:jc w:val="left"/>
        <w:rPr>
          <w:rFonts w:hint="eastAsia" w:ascii="仿宋_GB2312" w:hAnsi="仿宋_GB2312" w:eastAsia="仿宋_GB2312" w:cs="宋体"/>
          <w:kern w:val="2"/>
          <w:sz w:val="32"/>
          <w:szCs w:val="32"/>
        </w:rPr>
      </w:pPr>
      <w:r>
        <w:rPr>
          <w:rFonts w:hint="eastAsia" w:ascii="仿宋_GB2312" w:hAnsi="仿宋_GB2312" w:eastAsia="仿宋_GB2312" w:cs="宋体"/>
          <w:kern w:val="2"/>
          <w:sz w:val="32"/>
          <w:szCs w:val="32"/>
        </w:rPr>
        <w:t>③抓知产赋能，助力企业创新发展。我局聚焦“1+3+X”现代化产业体系，实施发明专利培育提升行动，实地走访了120余家企业，开展线上商标注册、专利申报、专利检索查新等公共服务1500余次，举办2场大型的知识产权质押融资“入园惠企”银企对接和知识产权培训会，推动知自贸区识产权质押融资工作上台阶，今年新增1笔知识产权质押融资贷款1439万，预计有意向融资金额达2000万。2024年度新增授权专利267件，其中发明专利93件，同比增长率32.86%。4月22日，省局发布全省专利产业化七大典型案例，由中创空天与中南大学联合申报的“中南转化模式”支撑航天超大型铝合金材料与构件制造技术产业化案例成功入选。</w:t>
      </w:r>
    </w:p>
    <w:p w14:paraId="2767B2FD">
      <w:pPr>
        <w:spacing w:line="600" w:lineRule="exact"/>
        <w:ind w:firstLine="640" w:firstLineChars="200"/>
        <w:jc w:val="left"/>
        <w:rPr>
          <w:rFonts w:hint="eastAsia" w:ascii="仿宋_GB2312" w:hAnsi="仿宋_GB2312" w:eastAsia="仿宋_GB2312" w:cs="宋体"/>
          <w:kern w:val="2"/>
          <w:sz w:val="32"/>
          <w:szCs w:val="32"/>
        </w:rPr>
      </w:pPr>
      <w:r>
        <w:rPr>
          <w:rFonts w:hint="eastAsia" w:ascii="仿宋_GB2312" w:hAnsi="仿宋_GB2312" w:eastAsia="仿宋_GB2312" w:cs="宋体"/>
          <w:kern w:val="2"/>
          <w:sz w:val="32"/>
          <w:szCs w:val="32"/>
        </w:rPr>
        <w:t>④加强食品和药品安全监管，守护群众舌尖安全。今年来，我局扎实推进食品安全“两个责任”机制工作落实，先后开展了包保干部和企业主体三类人员培训，“食品安全宣传周”等宣讲活动，并为广大食品生产经营单位制作食品安全信息公示牌，营造食品安全共治共享的良好氛围。持续开展药品安全巩固提升行动，通过药械化法律法规宣贯、日常监管和从业人员专业培训，进一步压紧压实药品、医疗器械零售企业主体责任。食品药品监管覆盖率达到了100%，通过日常监督及专项检查，下达责令改正通知书16份，食品药品相关行政指导230余次。同时，进一步完善对食品用药食同源进口企业的事前、事后监管工作机制，受理食品用药食同源进口产品备案申请91件，进口食品用药食同源产品7690吨。全年无食品药品安全事故。</w:t>
      </w:r>
    </w:p>
    <w:p w14:paraId="6FEB7097">
      <w:pPr>
        <w:spacing w:line="600" w:lineRule="exact"/>
        <w:ind w:firstLine="640" w:firstLineChars="200"/>
        <w:jc w:val="left"/>
        <w:rPr>
          <w:rFonts w:hint="eastAsia" w:ascii="仿宋_GB2312" w:hAnsi="仿宋_GB2312" w:eastAsia="仿宋_GB2312" w:cs="宋体"/>
          <w:kern w:val="2"/>
          <w:sz w:val="32"/>
          <w:szCs w:val="32"/>
        </w:rPr>
      </w:pPr>
      <w:r>
        <w:rPr>
          <w:rFonts w:hint="eastAsia" w:ascii="仿宋_GB2312" w:hAnsi="仿宋_GB2312" w:eastAsia="仿宋_GB2312" w:cs="宋体"/>
          <w:kern w:val="2"/>
          <w:sz w:val="32"/>
          <w:szCs w:val="32"/>
        </w:rPr>
        <w:t>⑤加强特种设备和工业产品质量监管，夯实安全生产基础。今年我们围绕电梯、叉车、集装箱码头起重设备、加氢站等重点对象，开展日常监管监察，实现全覆盖监管、全方位整治，发现安全隐患91起，下达监察指令书14份。开展特种设备安全宣传活动，向40余家企业“送法上门”，赠送相关书籍80余本；组织了港区100余家特种设备使用单位举办了市场总局74号令宣贯和安全总监、安全员专项培训会。；针对商场超市电取暖器、燃气灶具、电动自行车等质量安全风险高的重点工业产品进行监督检查,重点专项整治不按规定出具合格证、产品质量不符合标准要求,以及无证生产和超范围生产等质量违法行为。开展“洞庭清波”行动，检查辖区46家洗涤剂使用单位，抽检10个批次，利用贴公告、拉横幅、微信群提醒等多渠道多方式宣传并告诫，打造港区“无磷”氛围。开展“两电”全链条整治，一方面对港区锂电池生产企业进行排查，一方面开展相关宣传工作。对港区1家环境检测机构、2家车检机构联同港区生态环境局开展联合双随机一公开检查。开展质量帮扶活动，邀请第三方机构对港区18家开展“质量强企”“帮扶上门”活动，帮助企业梳理诊断质量问题42个，解决企业质量问题和需求12个，推动建立首席质量官企业12家，开展了质量帮扶培训1次。全年无安全生产事故。</w:t>
      </w:r>
    </w:p>
    <w:p w14:paraId="3E6B6DCD">
      <w:pPr>
        <w:spacing w:line="600" w:lineRule="exact"/>
        <w:ind w:firstLine="640" w:firstLineChars="200"/>
        <w:jc w:val="left"/>
        <w:rPr>
          <w:rFonts w:hint="eastAsia" w:ascii="仿宋_GB2312" w:hAnsi="仿宋_GB2312" w:eastAsia="仿宋_GB2312" w:cs="宋体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宋体"/>
          <w:kern w:val="2"/>
          <w:sz w:val="32"/>
          <w:szCs w:val="32"/>
        </w:rPr>
        <w:t>⑥加强投诉处理和消费维权，营造放心消费环境。为提振群众消费信心、营造放心消费环境，我们抓好3·15现场宣传活动，发放《维权利剑》《消费实用宝典》《“激发消费活力”年主题宣传手册》《预付式消费防“坑”指引》等宣传资料3000余份，接受现场咨询和投诉200余次，深入消费者投诉热点地域临港汽车城，想办法把消费解决在销售环节，主动化解消费纠纷，同时深入超市门店，就商品包装、食品保质期、标签等容易被职业打假人利用的方面，进行帮带指导，避免遭职业打假人索赔，全力维护消费市场秩序。今年来，共受理各类消费投诉、咨询、举报、信访504起，市长信箱、信访件4件，办结率100%，共为消费者挽回经济损失79.41万元。为解决消费者“买全球”的后顾之忧，我们充分发挥涉外消费维权服务站作用，今年来，共处理跨境商品消费维权46件，为消费者挽回经济损失38.45万元。</w:t>
      </w:r>
      <w:r>
        <w:rPr>
          <w:rFonts w:hint="eastAsia" w:ascii="仿宋_GB2312" w:hAnsi="仿宋_GB2312" w:eastAsia="仿宋_GB2312" w:cs="宋体"/>
          <w:kern w:val="2"/>
          <w:sz w:val="32"/>
          <w:szCs w:val="32"/>
          <w:lang w:eastAsia="zh-CN"/>
        </w:rPr>
        <w:t>12315效能评估排在全市第一位。</w:t>
      </w:r>
    </w:p>
    <w:p w14:paraId="7C65853C">
      <w:pPr>
        <w:overflowPunct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2.</w:t>
      </w:r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  <w:t>部门评价开展情况。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本单位为二级预算单位，部门评价开展情况可详见上级部门决算公开说明。</w:t>
      </w:r>
    </w:p>
    <w:p w14:paraId="2B23DD89">
      <w:pPr>
        <w:overflowPunct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3.</w:t>
      </w:r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  <w:t>事前绩效评估开展情况。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本单位为二级预算单位，事前绩效评估开展情况可详见上级部门决算公开说明。</w:t>
      </w:r>
    </w:p>
    <w:p w14:paraId="6FC8205B">
      <w:pPr>
        <w:overflowPunct w:val="0"/>
        <w:spacing w:line="600" w:lineRule="exact"/>
        <w:ind w:firstLine="320" w:firstLineChars="100"/>
        <w:rPr>
          <w:rFonts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/>
          <w:bCs/>
          <w:sz w:val="32"/>
          <w:szCs w:val="32"/>
        </w:rPr>
        <w:t>（二）绩效评价结果</w:t>
      </w:r>
    </w:p>
    <w:p w14:paraId="3F32372E">
      <w:pPr>
        <w:pStyle w:val="10"/>
        <w:widowControl/>
        <w:spacing w:beforeAutospacing="0" w:afterAutospacing="0" w:line="560" w:lineRule="exact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1.</w:t>
      </w:r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  <w:t>绩效自评结果。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2024年度本单位整体支出</w:t>
      </w:r>
      <w:r>
        <w:rPr>
          <w:rFonts w:ascii="Times New Roman" w:hAnsi="Times New Roman" w:eastAsia="仿宋_GB2312" w:cs="Times New Roman"/>
          <w:sz w:val="32"/>
          <w:szCs w:val="32"/>
        </w:rPr>
        <w:t>全年预算数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264.38</w:t>
      </w:r>
      <w:r>
        <w:rPr>
          <w:rFonts w:ascii="Times New Roman" w:hAnsi="Times New Roman" w:eastAsia="仿宋_GB2312" w:cs="Times New Roman"/>
          <w:sz w:val="32"/>
          <w:szCs w:val="32"/>
        </w:rPr>
        <w:t>万元，执行数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317.26</w:t>
      </w:r>
      <w:r>
        <w:rPr>
          <w:rFonts w:ascii="Times New Roman" w:hAnsi="Times New Roman" w:eastAsia="仿宋_GB2312" w:cs="Times New Roman"/>
          <w:sz w:val="32"/>
          <w:szCs w:val="32"/>
        </w:rPr>
        <w:t>万元，完成预算的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120.00</w:t>
      </w:r>
      <w:r>
        <w:rPr>
          <w:rFonts w:ascii="Times New Roman" w:hAnsi="Times New Roman" w:eastAsia="仿宋_GB2312" w:cs="Times New Roman"/>
          <w:sz w:val="32"/>
          <w:szCs w:val="32"/>
        </w:rPr>
        <w:t>%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，绩效自评得分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96.89</w:t>
      </w:r>
      <w:r>
        <w:rPr>
          <w:rFonts w:ascii="Times New Roman" w:hAnsi="Times New Roman" w:eastAsia="仿宋_GB2312" w:cs="Times New Roman"/>
          <w:sz w:val="32"/>
          <w:szCs w:val="32"/>
        </w:rPr>
        <w:t>分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，评价等级为</w:t>
      </w:r>
      <w:r>
        <w:rPr>
          <w:rFonts w:ascii="Times New Roman" w:hAnsi="Times New Roman" w:eastAsia="仿宋_GB2312" w:cs="Times New Roman"/>
          <w:sz w:val="32"/>
          <w:szCs w:val="32"/>
        </w:rPr>
        <w:t>“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好</w:t>
      </w:r>
      <w:r>
        <w:rPr>
          <w:rFonts w:ascii="Times New Roman" w:hAnsi="Times New Roman" w:eastAsia="仿宋_GB2312" w:cs="Times New Roman"/>
          <w:sz w:val="32"/>
          <w:szCs w:val="32"/>
        </w:rPr>
        <w:t>”。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绩效目标完成情况：一是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持续深化商事制度改革，做优做实营商环境和发展环境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；二是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强化企业信用监管，扎实开展市场监管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领域优化营商环境工作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三是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抓知产赋能，助力企业创新发展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四是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加强食品和药品安全监管，守护群众舌尖安全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五是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>加强特种设备和工业产品质量监管，夯实安全生产基础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；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六是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>加强投诉处理和消费维权，营造放心消费环境</w:t>
      </w:r>
      <w:r>
        <w:rPr>
          <w:rFonts w:ascii="Times New Roman" w:hAnsi="Times New Roman" w:eastAsia="仿宋_GB2312" w:cs="Times New Roman"/>
          <w:sz w:val="32"/>
          <w:szCs w:val="32"/>
        </w:rPr>
        <w:t>。发现的主要问题及原因：一是</w:t>
      </w:r>
      <w:r>
        <w:rPr>
          <w:rFonts w:hint="eastAsia" w:ascii="Times New Roman" w:hAnsi="Times New Roman" w:eastAsia="仿宋_GB2312"/>
          <w:sz w:val="32"/>
          <w:szCs w:val="32"/>
        </w:rPr>
        <w:t>预算编制与实际支出存在差异</w:t>
      </w:r>
      <w:r>
        <w:rPr>
          <w:rFonts w:ascii="Times New Roman" w:hAnsi="Times New Roman" w:eastAsia="仿宋_GB2312" w:cs="Times New Roman"/>
          <w:sz w:val="32"/>
          <w:szCs w:val="32"/>
        </w:rPr>
        <w:t>；二是</w:t>
      </w:r>
      <w:r>
        <w:rPr>
          <w:rFonts w:hint="eastAsia" w:ascii="Arial" w:hAnsi="Arial" w:eastAsia="仿宋_GB2312" w:cs="仿宋_GB2312"/>
          <w:kern w:val="0"/>
          <w:sz w:val="32"/>
          <w:szCs w:val="32"/>
          <w:lang w:val="en-US" w:eastAsia="zh-CN" w:bidi="ar-SA"/>
        </w:rPr>
        <w:t>绩效管理方面，有待提高</w:t>
      </w:r>
      <w:r>
        <w:rPr>
          <w:rFonts w:ascii="Times New Roman" w:hAnsi="Times New Roman" w:eastAsia="仿宋_GB2312" w:cs="Times New Roman"/>
          <w:sz w:val="32"/>
          <w:szCs w:val="32"/>
        </w:rPr>
        <w:t>。下一步改进措施：一是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严格按照预算编制要求，紧密结合分局实际需求，在充分论证的基础上，对部门整体预算各项经费收支进行分类细化、精准测算，确实做到“应编尽编、精确细化”</w:t>
      </w:r>
      <w:r>
        <w:rPr>
          <w:rFonts w:ascii="Times New Roman" w:hAnsi="Times New Roman" w:eastAsia="仿宋_GB2312" w:cs="Times New Roman"/>
          <w:sz w:val="32"/>
          <w:szCs w:val="32"/>
        </w:rPr>
        <w:t>；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严格落实专项经费使用管理规定，做到专款专用;同时按规定要求组织对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我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局年度预算进行及时调整追加，以保证预算执行准确，提高预算管理质效。三是严格按照预算绩效管理要求，对各项目预算绩效目标执行情况进行跟踪监管，并定期开展预算执行情况分析，确保预算绩效目标执行到位。</w:t>
      </w:r>
    </w:p>
    <w:p w14:paraId="1F555EDA">
      <w:pPr>
        <w:overflowPunct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2.</w:t>
      </w:r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  <w:t>部门评价结果。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本单位为二级预算单位，部门评价结果可详见上级部门决算公开说明。</w:t>
      </w:r>
    </w:p>
    <w:p w14:paraId="5DC4775D">
      <w:pPr>
        <w:overflowPunct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3.</w:t>
      </w:r>
      <w:r>
        <w:rPr>
          <w:rFonts w:hint="eastAsia" w:ascii="Times New Roman" w:hAnsi="Times New Roman" w:eastAsia="仿宋_GB2312" w:cs="Times New Roman"/>
          <w:b/>
          <w:bCs/>
          <w:kern w:val="0"/>
          <w:sz w:val="32"/>
          <w:szCs w:val="32"/>
          <w:highlight w:val="none"/>
          <w:lang w:val="en-US" w:eastAsia="zh-CN"/>
        </w:rPr>
        <w:t>事</w:t>
      </w:r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  <w:highlight w:val="none"/>
        </w:rPr>
        <w:t>前绩效评估结果。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本单位为二级预算单位，事前绩效评估结果可详见上级部门决算公开说明。</w:t>
      </w:r>
    </w:p>
    <w:p w14:paraId="2C89E516">
      <w:pPr>
        <w:numPr>
          <w:ilvl w:val="0"/>
          <w:numId w:val="3"/>
        </w:numPr>
        <w:autoSpaceDE w:val="0"/>
        <w:autoSpaceDN w:val="0"/>
        <w:adjustRightInd w:val="0"/>
        <w:ind w:firstLine="640" w:firstLineChars="200"/>
        <w:jc w:val="left"/>
        <w:rPr>
          <w:rFonts w:ascii="Times New Roman" w:hAnsi="Times New Roman" w:eastAsia="楷体_GB2312" w:cs="Times New Roman"/>
          <w:b/>
          <w:bCs/>
          <w:color w:val="auto"/>
          <w:kern w:val="2"/>
          <w:sz w:val="32"/>
          <w:szCs w:val="32"/>
          <w:highlight w:val="none"/>
        </w:rPr>
      </w:pPr>
      <w:r>
        <w:rPr>
          <w:rFonts w:ascii="Times New Roman" w:hAnsi="Times New Roman" w:eastAsia="楷体_GB2312" w:cs="Times New Roman"/>
          <w:b/>
          <w:bCs/>
          <w:color w:val="auto"/>
          <w:kern w:val="2"/>
          <w:sz w:val="32"/>
          <w:szCs w:val="32"/>
          <w:highlight w:val="none"/>
        </w:rPr>
        <w:t>评价结果应用情况</w:t>
      </w:r>
    </w:p>
    <w:p w14:paraId="2E1CBAA7">
      <w:pPr>
        <w:numPr>
          <w:ilvl w:val="0"/>
          <w:numId w:val="0"/>
        </w:numPr>
        <w:autoSpaceDE w:val="0"/>
        <w:autoSpaceDN w:val="0"/>
        <w:adjustRightInd w:val="0"/>
        <w:ind w:firstLine="640" w:firstLineChars="200"/>
        <w:jc w:val="left"/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根据2024年度绩效自评结果、部门评价结果、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事前绩效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评价结果对本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单位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</w:rPr>
        <w:t>2025年度</w:t>
      </w:r>
      <w:r>
        <w:rPr>
          <w:rFonts w:ascii="Times New Roman" w:hAnsi="Times New Roman" w:eastAsia="仿宋_GB2312"/>
          <w:sz w:val="32"/>
          <w:szCs w:val="32"/>
        </w:rPr>
        <w:t>年初预算编制、加强资金使用管理、健全资金支出项目、提高资金绩效管理、加大资金使用效益工作提供了重要的参考依据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确保各项工作高效高质完成</w:t>
      </w:r>
      <w:r>
        <w:rPr>
          <w:rFonts w:ascii="Times New Roman" w:hAnsi="Times New Roman" w:eastAsia="仿宋_GB2312"/>
          <w:sz w:val="32"/>
          <w:szCs w:val="32"/>
        </w:rPr>
        <w:t>。</w:t>
      </w:r>
    </w:p>
    <w:p w14:paraId="5E8AD5A5">
      <w:pPr>
        <w:autoSpaceDE w:val="0"/>
        <w:autoSpaceDN w:val="0"/>
        <w:adjustRightInd w:val="0"/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预算绩效管理开展情况、绩效目标和绩效评价报告等，已在市政府部门财政预决算公开平台上向社会公开，详见附件。</w:t>
      </w:r>
    </w:p>
    <w:p w14:paraId="62BEA247">
      <w:pPr>
        <w:pStyle w:val="9"/>
        <w:rPr>
          <w:rFonts w:hint="eastAsia"/>
          <w:lang w:val="en-US" w:eastAsia="zh-CN"/>
        </w:rPr>
      </w:pPr>
    </w:p>
    <w:p w14:paraId="47586AB8">
      <w:pPr>
        <w:numPr>
          <w:ilvl w:val="0"/>
          <w:numId w:val="0"/>
        </w:numPr>
        <w:autoSpaceDE w:val="0"/>
        <w:autoSpaceDN w:val="0"/>
        <w:adjustRightInd w:val="0"/>
        <w:jc w:val="left"/>
        <w:rPr>
          <w:rFonts w:hint="eastAsia" w:ascii="楷体" w:hAnsi="楷体" w:eastAsia="楷体" w:cs="楷体"/>
          <w:b/>
          <w:bCs/>
          <w:i w:val="0"/>
          <w:iCs w:val="0"/>
          <w:color w:val="FF0000"/>
          <w:kern w:val="0"/>
          <w:sz w:val="36"/>
          <w:szCs w:val="36"/>
          <w:lang w:val="en-US" w:eastAsia="zh-CN"/>
        </w:rPr>
      </w:pPr>
    </w:p>
    <w:p w14:paraId="3971199E">
      <w:pPr>
        <w:numPr>
          <w:ilvl w:val="0"/>
          <w:numId w:val="0"/>
        </w:numPr>
        <w:autoSpaceDE w:val="0"/>
        <w:autoSpaceDN w:val="0"/>
        <w:adjustRightInd w:val="0"/>
        <w:jc w:val="left"/>
        <w:rPr>
          <w:sz w:val="72"/>
          <w:szCs w:val="72"/>
        </w:rPr>
      </w:pPr>
    </w:p>
    <w:p w14:paraId="147E06D0">
      <w:pPr>
        <w:pStyle w:val="15"/>
        <w:jc w:val="both"/>
        <w:rPr>
          <w:rFonts w:hint="eastAsia" w:ascii="方正小标宋_GBK" w:hAnsi="方正小标宋_GBK" w:eastAsia="方正小标宋_GBK" w:cs="方正小标宋_GBK"/>
          <w:sz w:val="24"/>
          <w:szCs w:val="24"/>
        </w:rPr>
      </w:pPr>
    </w:p>
    <w:p w14:paraId="3D83FDA1">
      <w:pPr>
        <w:pStyle w:val="15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6FB6F211">
      <w:pPr>
        <w:pStyle w:val="15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3A01B6B0">
      <w:pPr>
        <w:pStyle w:val="15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475C1000">
      <w:pPr>
        <w:pStyle w:val="15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7A732F3A">
      <w:pPr>
        <w:pStyle w:val="15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78E8C266">
      <w:pPr>
        <w:pStyle w:val="15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71DFC2FD">
      <w:pPr>
        <w:pStyle w:val="15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51837307">
      <w:pPr>
        <w:pStyle w:val="15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3EAA9F1B">
      <w:pPr>
        <w:pStyle w:val="15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36E70371">
      <w:pPr>
        <w:pStyle w:val="15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13235DD1">
      <w:pPr>
        <w:pStyle w:val="15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70A92867">
      <w:pPr>
        <w:pStyle w:val="15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</w:p>
    <w:p w14:paraId="6A5A782C">
      <w:pPr>
        <w:pStyle w:val="15"/>
        <w:jc w:val="center"/>
        <w:rPr>
          <w:rFonts w:hint="eastAsia" w:ascii="方正小标宋_GBK" w:hAnsi="方正小标宋_GBK" w:eastAsia="方正小标宋_GBK" w:cs="方正小标宋_GBK"/>
          <w:sz w:val="72"/>
          <w:szCs w:val="72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第四部分</w:t>
      </w:r>
    </w:p>
    <w:p w14:paraId="2DDD6447">
      <w:pPr>
        <w:jc w:val="center"/>
        <w:rPr>
          <w:rFonts w:hint="eastAsia" w:ascii="方正小标宋_GBK" w:hAnsi="方正小标宋_GBK" w:eastAsia="方正小标宋_GBK" w:cs="方正小标宋_GBK"/>
          <w:color w:val="000000"/>
          <w:kern w:val="0"/>
          <w:sz w:val="70"/>
          <w:szCs w:val="70"/>
        </w:rPr>
      </w:pPr>
    </w:p>
    <w:p w14:paraId="41992F86">
      <w:pPr>
        <w:pStyle w:val="15"/>
        <w:jc w:val="center"/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70"/>
          <w:szCs w:val="70"/>
        </w:rPr>
        <w:t>名词解释</w:t>
      </w:r>
    </w:p>
    <w:p w14:paraId="571298D0">
      <w:pPr>
        <w:pStyle w:val="9"/>
      </w:pPr>
    </w:p>
    <w:p w14:paraId="5331F884">
      <w:pPr>
        <w:pStyle w:val="5"/>
      </w:pPr>
    </w:p>
    <w:p w14:paraId="2CCAD852"/>
    <w:p w14:paraId="440E89DF">
      <w:pPr>
        <w:pStyle w:val="9"/>
      </w:pPr>
    </w:p>
    <w:p w14:paraId="645B9B76">
      <w:pPr>
        <w:pStyle w:val="5"/>
      </w:pPr>
    </w:p>
    <w:p w14:paraId="539F25AC"/>
    <w:p w14:paraId="47AFAB8F">
      <w:pPr>
        <w:pStyle w:val="9"/>
      </w:pPr>
    </w:p>
    <w:p w14:paraId="479D6353">
      <w:pPr>
        <w:pStyle w:val="5"/>
      </w:pPr>
    </w:p>
    <w:p w14:paraId="648103ED"/>
    <w:p w14:paraId="08A5EA8F">
      <w:pPr>
        <w:pStyle w:val="9"/>
      </w:pPr>
    </w:p>
    <w:p w14:paraId="3FD0BAB6">
      <w:pPr>
        <w:pStyle w:val="5"/>
      </w:pPr>
    </w:p>
    <w:p w14:paraId="1CAE18D7"/>
    <w:p w14:paraId="5994BDDC">
      <w:pPr>
        <w:pStyle w:val="9"/>
      </w:pPr>
    </w:p>
    <w:p w14:paraId="1741E604">
      <w:pPr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 w14:paraId="02E59030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 w14:paraId="793F6BC2">
      <w:pPr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 w14:paraId="754BC716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一、“三公”经费：指用财政拨款安排的因公出国（境）费、公务用车购置及运行费和公务接待费。其中，因公出国（境）费反映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 w14:paraId="575346AC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二、机关运行经费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，指为保障行政单位（包括参照公务员法管理的事业单位）运行用于购买货物和服务的各项资金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，包括办公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费、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印刷费、邮电费、差旅费、会议费、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培训费、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日常维修费、专用材料及一般设备购置费、办公用房水电费、办公用房取暖费、办公用房物业管理费、公务用车运行维护费以及其他费用。</w:t>
      </w:r>
    </w:p>
    <w:p w14:paraId="49193A81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三、财政拨款收入：是指市级财政当年拨付的资金。</w:t>
      </w:r>
    </w:p>
    <w:p w14:paraId="59AE544A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、年初结转和结余：是指以前年度支出预算因客观条件变化未执行完毕、结转到本年度按有关规定继续使用的资金。</w:t>
      </w:r>
    </w:p>
    <w:p w14:paraId="019160C2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、基本支出：是指为保障机构正常运转、完成日常工作任务所必需的开支，其内容包括人员经费和日常公用经费两部分。</w:t>
      </w:r>
    </w:p>
    <w:p w14:paraId="7EA4DE88"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、项目支出：是指在基本支出之外，为完成特定的行政工作任务或事业发展目标所发生的支出。</w:t>
      </w:r>
    </w:p>
    <w:p w14:paraId="72753068">
      <w:pPr>
        <w:ind w:firstLine="640" w:firstLineChars="200"/>
        <w:jc w:val="left"/>
        <w:rPr>
          <w:rFonts w:hint="eastAsia" w:ascii="仿宋_GB2312" w:hAnsi="仿宋_GB2312" w:eastAsia="仿宋_GB2312" w:cs="仿宋_GB2312"/>
          <w:b/>
          <w:bCs/>
          <w:i/>
          <w:color w:val="FF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、一般公共服务（类）：是指用于保障机构正常运行、开展业务等活动的支出。行政运行（项）：是指为保障市委政法委各行政机构正常运转、完成日常工作任务安排的支出。</w:t>
      </w:r>
    </w:p>
    <w:p w14:paraId="07823631">
      <w:pPr>
        <w:pStyle w:val="5"/>
      </w:pPr>
    </w:p>
    <w:p w14:paraId="580CF8E4"/>
    <w:p w14:paraId="0C17744C">
      <w:pPr>
        <w:pStyle w:val="9"/>
      </w:pPr>
    </w:p>
    <w:p w14:paraId="7B8BABF4">
      <w:pPr>
        <w:pStyle w:val="5"/>
      </w:pPr>
    </w:p>
    <w:p w14:paraId="1942C0DC"/>
    <w:p w14:paraId="6E2D1EEF">
      <w:pPr>
        <w:pStyle w:val="9"/>
      </w:pPr>
    </w:p>
    <w:p w14:paraId="5F6ABC3B">
      <w:pPr>
        <w:pStyle w:val="5"/>
      </w:pPr>
    </w:p>
    <w:p w14:paraId="51BE6437"/>
    <w:p w14:paraId="05344CBA">
      <w:pPr>
        <w:pStyle w:val="9"/>
      </w:pPr>
    </w:p>
    <w:p w14:paraId="5C9170AD">
      <w:pPr>
        <w:pStyle w:val="5"/>
      </w:pPr>
    </w:p>
    <w:p w14:paraId="29D3A91E"/>
    <w:p w14:paraId="0D2A994E">
      <w:pPr>
        <w:pStyle w:val="9"/>
      </w:pPr>
    </w:p>
    <w:p w14:paraId="59CBCCA7">
      <w:pPr>
        <w:pStyle w:val="5"/>
      </w:pPr>
    </w:p>
    <w:p w14:paraId="67806EBD"/>
    <w:p w14:paraId="7C18BB03">
      <w:pPr>
        <w:pStyle w:val="9"/>
      </w:pPr>
    </w:p>
    <w:p w14:paraId="29230CAD">
      <w:pPr>
        <w:pStyle w:val="5"/>
      </w:pPr>
    </w:p>
    <w:p w14:paraId="724E0A54"/>
    <w:p w14:paraId="496F732E">
      <w:pPr>
        <w:pStyle w:val="9"/>
      </w:pPr>
    </w:p>
    <w:p w14:paraId="0C1858E3">
      <w:pPr>
        <w:pStyle w:val="15"/>
        <w:ind w:firstLine="3600" w:firstLineChars="500"/>
        <w:jc w:val="both"/>
        <w:rPr>
          <w:rFonts w:hint="eastAsia" w:ascii="方正小标宋_GBK" w:hAnsi="方正小标宋_GBK" w:eastAsia="方正小标宋_GBK" w:cs="方正小标宋_GBK"/>
          <w:sz w:val="70"/>
          <w:szCs w:val="70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第</w:t>
      </w:r>
      <w:r>
        <w:rPr>
          <w:rFonts w:hint="eastAsia" w:ascii="方正小标宋_GBK" w:hAnsi="方正小标宋_GBK" w:eastAsia="方正小标宋_GBK" w:cs="方正小标宋_GBK"/>
          <w:sz w:val="72"/>
          <w:szCs w:val="72"/>
          <w:lang w:eastAsia="zh-CN"/>
        </w:rPr>
        <w:t>五</w:t>
      </w: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部分</w:t>
      </w:r>
    </w:p>
    <w:p w14:paraId="592BF6CA">
      <w:pPr>
        <w:pStyle w:val="15"/>
        <w:jc w:val="both"/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</w:pPr>
    </w:p>
    <w:p w14:paraId="490142D3">
      <w:pPr>
        <w:pStyle w:val="15"/>
        <w:jc w:val="center"/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  <w:t>附</w:t>
      </w:r>
      <w:r>
        <w:rPr>
          <w:rFonts w:hint="eastAsia" w:ascii="方正小标宋_GBK" w:hAnsi="方正小标宋_GBK" w:eastAsia="方正小标宋_GBK" w:cs="方正小标宋_GBK"/>
          <w:sz w:val="70"/>
          <w:szCs w:val="70"/>
          <w:lang w:val="en-US" w:eastAsia="zh-CN"/>
        </w:rPr>
        <w:t xml:space="preserve"> </w:t>
      </w:r>
      <w:r>
        <w:rPr>
          <w:rFonts w:hint="eastAsia" w:ascii="方正小标宋_GBK" w:hAnsi="方正小标宋_GBK" w:eastAsia="方正小标宋_GBK" w:cs="方正小标宋_GBK"/>
          <w:sz w:val="70"/>
          <w:szCs w:val="70"/>
          <w:lang w:eastAsia="zh-CN"/>
        </w:rPr>
        <w:t>件</w:t>
      </w:r>
    </w:p>
    <w:p w14:paraId="3243C04E">
      <w:pPr>
        <w:ind w:firstLine="640" w:firstLineChars="200"/>
        <w:jc w:val="left"/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lang w:val="en-US" w:eastAsia="zh-CN"/>
        </w:rPr>
      </w:pPr>
    </w:p>
    <w:p w14:paraId="4EAC9354">
      <w:pPr>
        <w:ind w:firstLine="640" w:firstLineChars="200"/>
        <w:jc w:val="left"/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lang w:val="en-US" w:eastAsia="zh-CN"/>
        </w:rPr>
        <w:t>1、</w:t>
      </w: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highlight w:val="none"/>
          <w:lang w:val="en-US" w:eastAsia="zh-CN"/>
        </w:rPr>
        <w:t>2024</w:t>
      </w: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lang w:val="en-US" w:eastAsia="zh-CN"/>
        </w:rPr>
        <w:t>年部门决算公开表格</w:t>
      </w:r>
    </w:p>
    <w:p w14:paraId="27E2EE8B">
      <w:pPr>
        <w:ind w:firstLine="640" w:firstLineChars="200"/>
        <w:jc w:val="left"/>
        <w:rPr>
          <w:rFonts w:ascii="宋体" w:hAnsi="宋体" w:eastAsia="宋体" w:cs="黑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lang w:val="en-US" w:eastAsia="zh-CN"/>
        </w:rPr>
        <w:t>2、</w:t>
      </w: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highlight w:val="none"/>
        </w:rPr>
        <w:t>202</w:t>
      </w: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宋体" w:hAnsi="宋体" w:eastAsia="宋体" w:cs="黑体"/>
          <w:b/>
          <w:color w:val="000000"/>
          <w:kern w:val="0"/>
          <w:sz w:val="32"/>
          <w:szCs w:val="32"/>
        </w:rPr>
        <w:t>年度部门整体支出绩效评价报告</w:t>
      </w:r>
    </w:p>
    <w:p w14:paraId="045AD96C"/>
    <w:sectPr>
      <w:pgSz w:w="11906" w:h="16838"/>
      <w:pgMar w:top="720" w:right="720" w:bottom="720" w:left="72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����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DECFD4"/>
    <w:multiLevelType w:val="singleLevel"/>
    <w:tmpl w:val="8EDECFD4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73518C1"/>
    <w:multiLevelType w:val="multilevel"/>
    <w:tmpl w:val="373518C1"/>
    <w:lvl w:ilvl="0" w:tentative="0">
      <w:start w:val="1"/>
      <w:numFmt w:val="none"/>
      <w:lvlText w:val="一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3BCC5B2"/>
    <w:multiLevelType w:val="singleLevel"/>
    <w:tmpl w:val="63BCC5B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6F9"/>
    <w:rsid w:val="0002229B"/>
    <w:rsid w:val="000273BD"/>
    <w:rsid w:val="00040CBC"/>
    <w:rsid w:val="000415B7"/>
    <w:rsid w:val="00041E3F"/>
    <w:rsid w:val="00055DAA"/>
    <w:rsid w:val="00061F7B"/>
    <w:rsid w:val="000658A3"/>
    <w:rsid w:val="00074155"/>
    <w:rsid w:val="000A3F69"/>
    <w:rsid w:val="00103957"/>
    <w:rsid w:val="00152C6D"/>
    <w:rsid w:val="00162D39"/>
    <w:rsid w:val="001678BD"/>
    <w:rsid w:val="00182373"/>
    <w:rsid w:val="001A67DB"/>
    <w:rsid w:val="001C3C29"/>
    <w:rsid w:val="001D51E5"/>
    <w:rsid w:val="001E080D"/>
    <w:rsid w:val="001E53D0"/>
    <w:rsid w:val="001F0C3B"/>
    <w:rsid w:val="00202C82"/>
    <w:rsid w:val="00214427"/>
    <w:rsid w:val="00226CB7"/>
    <w:rsid w:val="00264552"/>
    <w:rsid w:val="00264EF9"/>
    <w:rsid w:val="00265724"/>
    <w:rsid w:val="0027426B"/>
    <w:rsid w:val="002E0A30"/>
    <w:rsid w:val="003130C4"/>
    <w:rsid w:val="00316C4B"/>
    <w:rsid w:val="0032192B"/>
    <w:rsid w:val="003479BD"/>
    <w:rsid w:val="0037197D"/>
    <w:rsid w:val="003768D5"/>
    <w:rsid w:val="003926B9"/>
    <w:rsid w:val="003C47E6"/>
    <w:rsid w:val="003C4FC2"/>
    <w:rsid w:val="00416E61"/>
    <w:rsid w:val="0042790C"/>
    <w:rsid w:val="004506F9"/>
    <w:rsid w:val="004717A2"/>
    <w:rsid w:val="00473DF3"/>
    <w:rsid w:val="00487911"/>
    <w:rsid w:val="00491741"/>
    <w:rsid w:val="004B0CEE"/>
    <w:rsid w:val="00500E5F"/>
    <w:rsid w:val="005122EF"/>
    <w:rsid w:val="0051441A"/>
    <w:rsid w:val="00517C33"/>
    <w:rsid w:val="00517D5F"/>
    <w:rsid w:val="00523644"/>
    <w:rsid w:val="0054069E"/>
    <w:rsid w:val="00544866"/>
    <w:rsid w:val="005767CC"/>
    <w:rsid w:val="00590D9F"/>
    <w:rsid w:val="00595D26"/>
    <w:rsid w:val="005A74E6"/>
    <w:rsid w:val="005B404E"/>
    <w:rsid w:val="005D4D55"/>
    <w:rsid w:val="005E2CFB"/>
    <w:rsid w:val="005F2103"/>
    <w:rsid w:val="005F3D1C"/>
    <w:rsid w:val="0062378F"/>
    <w:rsid w:val="00641842"/>
    <w:rsid w:val="00651EEC"/>
    <w:rsid w:val="00686673"/>
    <w:rsid w:val="00691E8C"/>
    <w:rsid w:val="006A22C4"/>
    <w:rsid w:val="006A351B"/>
    <w:rsid w:val="006B0422"/>
    <w:rsid w:val="006C1B53"/>
    <w:rsid w:val="006D7730"/>
    <w:rsid w:val="006E5284"/>
    <w:rsid w:val="006F3EB5"/>
    <w:rsid w:val="00702E34"/>
    <w:rsid w:val="00704395"/>
    <w:rsid w:val="00710FE7"/>
    <w:rsid w:val="00717621"/>
    <w:rsid w:val="00720FF1"/>
    <w:rsid w:val="00727A53"/>
    <w:rsid w:val="00787B42"/>
    <w:rsid w:val="007C4539"/>
    <w:rsid w:val="007F3657"/>
    <w:rsid w:val="00812ED5"/>
    <w:rsid w:val="008277D9"/>
    <w:rsid w:val="0084478C"/>
    <w:rsid w:val="0086638C"/>
    <w:rsid w:val="008A3E8D"/>
    <w:rsid w:val="009237C4"/>
    <w:rsid w:val="00944C48"/>
    <w:rsid w:val="00950252"/>
    <w:rsid w:val="00967F5D"/>
    <w:rsid w:val="009A0F95"/>
    <w:rsid w:val="009B3ADF"/>
    <w:rsid w:val="009B4D8E"/>
    <w:rsid w:val="009C3B52"/>
    <w:rsid w:val="009E6817"/>
    <w:rsid w:val="009E6E9A"/>
    <w:rsid w:val="00A01D2B"/>
    <w:rsid w:val="00A42218"/>
    <w:rsid w:val="00A70249"/>
    <w:rsid w:val="00A70B02"/>
    <w:rsid w:val="00A71D9F"/>
    <w:rsid w:val="00A92E9F"/>
    <w:rsid w:val="00AB18FF"/>
    <w:rsid w:val="00B33BEA"/>
    <w:rsid w:val="00B57C9F"/>
    <w:rsid w:val="00B63572"/>
    <w:rsid w:val="00B845B3"/>
    <w:rsid w:val="00B85D8B"/>
    <w:rsid w:val="00BB4A40"/>
    <w:rsid w:val="00BD6C3E"/>
    <w:rsid w:val="00BE3674"/>
    <w:rsid w:val="00C10681"/>
    <w:rsid w:val="00C3049A"/>
    <w:rsid w:val="00C31B1E"/>
    <w:rsid w:val="00C77645"/>
    <w:rsid w:val="00CE04C3"/>
    <w:rsid w:val="00CE76A0"/>
    <w:rsid w:val="00D148C6"/>
    <w:rsid w:val="00D17A8A"/>
    <w:rsid w:val="00D415BA"/>
    <w:rsid w:val="00D63780"/>
    <w:rsid w:val="00D644EE"/>
    <w:rsid w:val="00DD06FF"/>
    <w:rsid w:val="00DD5FE9"/>
    <w:rsid w:val="00E00C7A"/>
    <w:rsid w:val="00E16FE2"/>
    <w:rsid w:val="00E37D6C"/>
    <w:rsid w:val="00E55B68"/>
    <w:rsid w:val="00E561AE"/>
    <w:rsid w:val="00E67BE6"/>
    <w:rsid w:val="00E8683C"/>
    <w:rsid w:val="00EA2B72"/>
    <w:rsid w:val="00F74360"/>
    <w:rsid w:val="00FB462F"/>
    <w:rsid w:val="00FE16FA"/>
    <w:rsid w:val="00FE328A"/>
    <w:rsid w:val="00FE6269"/>
    <w:rsid w:val="00FF5CD6"/>
    <w:rsid w:val="01113D6B"/>
    <w:rsid w:val="01635C49"/>
    <w:rsid w:val="016B3E45"/>
    <w:rsid w:val="02045CBB"/>
    <w:rsid w:val="02117D9A"/>
    <w:rsid w:val="024E06A7"/>
    <w:rsid w:val="02861F0A"/>
    <w:rsid w:val="037B196F"/>
    <w:rsid w:val="03B22EB7"/>
    <w:rsid w:val="03C84489"/>
    <w:rsid w:val="05222193"/>
    <w:rsid w:val="059958AD"/>
    <w:rsid w:val="06B767BC"/>
    <w:rsid w:val="06C857E7"/>
    <w:rsid w:val="07300CC3"/>
    <w:rsid w:val="07504EC1"/>
    <w:rsid w:val="08A74FB5"/>
    <w:rsid w:val="08C24A73"/>
    <w:rsid w:val="094445B2"/>
    <w:rsid w:val="099A216B"/>
    <w:rsid w:val="0ADD2F10"/>
    <w:rsid w:val="0D1969B3"/>
    <w:rsid w:val="0EC31B94"/>
    <w:rsid w:val="10B65D95"/>
    <w:rsid w:val="11944E2C"/>
    <w:rsid w:val="12583BA5"/>
    <w:rsid w:val="1288550F"/>
    <w:rsid w:val="13581F5F"/>
    <w:rsid w:val="13AE71F7"/>
    <w:rsid w:val="13BA5B9C"/>
    <w:rsid w:val="150C68CB"/>
    <w:rsid w:val="15B17473"/>
    <w:rsid w:val="16D056D6"/>
    <w:rsid w:val="17366064"/>
    <w:rsid w:val="19DC0901"/>
    <w:rsid w:val="1A440776"/>
    <w:rsid w:val="1BAC4AC7"/>
    <w:rsid w:val="1BE0460E"/>
    <w:rsid w:val="1CF21244"/>
    <w:rsid w:val="1D1125A5"/>
    <w:rsid w:val="1D7A3706"/>
    <w:rsid w:val="1D97DEFF"/>
    <w:rsid w:val="1DFF72E5"/>
    <w:rsid w:val="1E9430DD"/>
    <w:rsid w:val="1EFC6F07"/>
    <w:rsid w:val="1F0527A6"/>
    <w:rsid w:val="1FFB37C4"/>
    <w:rsid w:val="22AC03C2"/>
    <w:rsid w:val="235247BE"/>
    <w:rsid w:val="240C40F1"/>
    <w:rsid w:val="24C26FA6"/>
    <w:rsid w:val="24DC3269"/>
    <w:rsid w:val="263C0693"/>
    <w:rsid w:val="2700773A"/>
    <w:rsid w:val="283B15FE"/>
    <w:rsid w:val="2A7A315D"/>
    <w:rsid w:val="2B4C75CA"/>
    <w:rsid w:val="2B6B3125"/>
    <w:rsid w:val="2B852ADC"/>
    <w:rsid w:val="2C827B3E"/>
    <w:rsid w:val="2CF14F59"/>
    <w:rsid w:val="2D2307FE"/>
    <w:rsid w:val="2FDF85B8"/>
    <w:rsid w:val="2FFFEE04"/>
    <w:rsid w:val="305F7D9F"/>
    <w:rsid w:val="31C95635"/>
    <w:rsid w:val="32DF2AD1"/>
    <w:rsid w:val="343B01DB"/>
    <w:rsid w:val="34DF85B0"/>
    <w:rsid w:val="35527ED3"/>
    <w:rsid w:val="370C5E5F"/>
    <w:rsid w:val="37A25927"/>
    <w:rsid w:val="37BD57BF"/>
    <w:rsid w:val="384D672F"/>
    <w:rsid w:val="38883C0B"/>
    <w:rsid w:val="3A9248CD"/>
    <w:rsid w:val="3AFA76B0"/>
    <w:rsid w:val="3B0A4DAB"/>
    <w:rsid w:val="3B2C2F74"/>
    <w:rsid w:val="3B8F36BC"/>
    <w:rsid w:val="3DEB2C72"/>
    <w:rsid w:val="3E7B71E7"/>
    <w:rsid w:val="3F4C5993"/>
    <w:rsid w:val="42C14A6A"/>
    <w:rsid w:val="43EB5BA5"/>
    <w:rsid w:val="43F565F9"/>
    <w:rsid w:val="44FC5765"/>
    <w:rsid w:val="45FE7882"/>
    <w:rsid w:val="461E1C9E"/>
    <w:rsid w:val="463827CD"/>
    <w:rsid w:val="48584029"/>
    <w:rsid w:val="48EA13B5"/>
    <w:rsid w:val="491FF225"/>
    <w:rsid w:val="49C95C86"/>
    <w:rsid w:val="4A4E6A63"/>
    <w:rsid w:val="4A6E0EB3"/>
    <w:rsid w:val="4D9F75D5"/>
    <w:rsid w:val="4EC310A1"/>
    <w:rsid w:val="4FFD214C"/>
    <w:rsid w:val="512C5BA9"/>
    <w:rsid w:val="5167665C"/>
    <w:rsid w:val="52391DA6"/>
    <w:rsid w:val="524349D3"/>
    <w:rsid w:val="5352765A"/>
    <w:rsid w:val="54C139E7"/>
    <w:rsid w:val="5777D4F5"/>
    <w:rsid w:val="57F22B6F"/>
    <w:rsid w:val="58E968F6"/>
    <w:rsid w:val="59DD8326"/>
    <w:rsid w:val="5A0C5FF2"/>
    <w:rsid w:val="5A13192B"/>
    <w:rsid w:val="5C7E2037"/>
    <w:rsid w:val="5D4265D0"/>
    <w:rsid w:val="5DCF35BF"/>
    <w:rsid w:val="5DEF592A"/>
    <w:rsid w:val="5E2A7515"/>
    <w:rsid w:val="5F2D2C93"/>
    <w:rsid w:val="5FB24F46"/>
    <w:rsid w:val="5FC6BB1E"/>
    <w:rsid w:val="5FF720F1"/>
    <w:rsid w:val="6034517F"/>
    <w:rsid w:val="609876E3"/>
    <w:rsid w:val="61F41846"/>
    <w:rsid w:val="622964C1"/>
    <w:rsid w:val="668D7B26"/>
    <w:rsid w:val="67EE31DB"/>
    <w:rsid w:val="67FF5C0B"/>
    <w:rsid w:val="68A67612"/>
    <w:rsid w:val="69FC4B0F"/>
    <w:rsid w:val="6A2151A2"/>
    <w:rsid w:val="6BA8544F"/>
    <w:rsid w:val="6BAA3B43"/>
    <w:rsid w:val="6BAA4A2F"/>
    <w:rsid w:val="6BCA0C62"/>
    <w:rsid w:val="6BD44481"/>
    <w:rsid w:val="6CC369E5"/>
    <w:rsid w:val="6D002DFC"/>
    <w:rsid w:val="6DDEC5C0"/>
    <w:rsid w:val="6E780371"/>
    <w:rsid w:val="6EA63EC8"/>
    <w:rsid w:val="6EFC0924"/>
    <w:rsid w:val="6FB74722"/>
    <w:rsid w:val="6FEF8B7E"/>
    <w:rsid w:val="7077245F"/>
    <w:rsid w:val="717FE77F"/>
    <w:rsid w:val="71A6591B"/>
    <w:rsid w:val="72A241A1"/>
    <w:rsid w:val="731E2CB7"/>
    <w:rsid w:val="737D59BA"/>
    <w:rsid w:val="737F32B1"/>
    <w:rsid w:val="73BD3FCA"/>
    <w:rsid w:val="75497CA3"/>
    <w:rsid w:val="773D03BB"/>
    <w:rsid w:val="776BDA01"/>
    <w:rsid w:val="77707069"/>
    <w:rsid w:val="77C37683"/>
    <w:rsid w:val="7829143F"/>
    <w:rsid w:val="782F004A"/>
    <w:rsid w:val="785E3A65"/>
    <w:rsid w:val="79FF515B"/>
    <w:rsid w:val="7A544D8E"/>
    <w:rsid w:val="7B0B2DC2"/>
    <w:rsid w:val="7B7F4658"/>
    <w:rsid w:val="7BEE6EAE"/>
    <w:rsid w:val="7D0D4954"/>
    <w:rsid w:val="7DFBFF20"/>
    <w:rsid w:val="7E802CE1"/>
    <w:rsid w:val="7E9E1962"/>
    <w:rsid w:val="7E9F11B4"/>
    <w:rsid w:val="7F37EC1E"/>
    <w:rsid w:val="7F7C0DDA"/>
    <w:rsid w:val="7F7DCD9D"/>
    <w:rsid w:val="7F970A6F"/>
    <w:rsid w:val="7F9F508F"/>
    <w:rsid w:val="7FC1FFF3"/>
    <w:rsid w:val="7FC69637"/>
    <w:rsid w:val="7FDF8620"/>
    <w:rsid w:val="7FFB242F"/>
    <w:rsid w:val="7FFDB408"/>
    <w:rsid w:val="7FFE4EEB"/>
    <w:rsid w:val="95FB2B98"/>
    <w:rsid w:val="9A639BC2"/>
    <w:rsid w:val="9FF7D786"/>
    <w:rsid w:val="ABBFB23D"/>
    <w:rsid w:val="B6BE5A03"/>
    <w:rsid w:val="B8C93228"/>
    <w:rsid w:val="C3B4DA5A"/>
    <w:rsid w:val="C4FF458C"/>
    <w:rsid w:val="C7BBD038"/>
    <w:rsid w:val="CBFF70E0"/>
    <w:rsid w:val="CFF50B82"/>
    <w:rsid w:val="CFFFAD89"/>
    <w:rsid w:val="DFFE359E"/>
    <w:rsid w:val="DFFE4FFD"/>
    <w:rsid w:val="DFFF5403"/>
    <w:rsid w:val="EBC3E00A"/>
    <w:rsid w:val="EDFBE100"/>
    <w:rsid w:val="EEABED75"/>
    <w:rsid w:val="EF7E8003"/>
    <w:rsid w:val="F56FDF51"/>
    <w:rsid w:val="F5F3EE78"/>
    <w:rsid w:val="F6B69F17"/>
    <w:rsid w:val="F6E5BB3A"/>
    <w:rsid w:val="F77F1D61"/>
    <w:rsid w:val="F7FED3A9"/>
    <w:rsid w:val="F8C9DB26"/>
    <w:rsid w:val="F97E8EAE"/>
    <w:rsid w:val="FB36E1A6"/>
    <w:rsid w:val="FB3BE134"/>
    <w:rsid w:val="FCFF4275"/>
    <w:rsid w:val="FD7FEEEA"/>
    <w:rsid w:val="FDFFB577"/>
    <w:rsid w:val="FEEA50FE"/>
    <w:rsid w:val="FF7D47A9"/>
    <w:rsid w:val="FFCF21CB"/>
    <w:rsid w:val="FFF94102"/>
    <w:rsid w:val="FFFF1C8B"/>
    <w:rsid w:val="FFFF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eastAsia="仿宋" w:cs="仿宋"/>
      <w:sz w:val="31"/>
      <w:szCs w:val="31"/>
      <w:lang w:eastAsia="en-US"/>
    </w:rPr>
  </w:style>
  <w:style w:type="paragraph" w:styleId="4">
    <w:name w:val="Body Text Indent"/>
    <w:basedOn w:val="1"/>
    <w:next w:val="5"/>
    <w:unhideWhenUsed/>
    <w:qFormat/>
    <w:uiPriority w:val="99"/>
    <w:pPr>
      <w:widowControl/>
      <w:spacing w:after="120"/>
      <w:ind w:left="420" w:leftChars="200"/>
      <w:jc w:val="left"/>
    </w:pPr>
    <w:rPr>
      <w:rFonts w:ascii="宋体" w:hAnsi="宋体" w:eastAsia="宋体" w:cs="宋体"/>
      <w:kern w:val="0"/>
      <w:sz w:val="24"/>
    </w:rPr>
  </w:style>
  <w:style w:type="paragraph" w:styleId="5">
    <w:name w:val="Body Text First Indent 2"/>
    <w:basedOn w:val="4"/>
    <w:next w:val="1"/>
    <w:unhideWhenUsed/>
    <w:qFormat/>
    <w:uiPriority w:val="99"/>
    <w:pPr>
      <w:ind w:firstLine="420" w:firstLineChars="200"/>
    </w:pPr>
  </w:style>
  <w:style w:type="paragraph" w:styleId="6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footnote text"/>
    <w:basedOn w:val="1"/>
    <w:next w:val="5"/>
    <w:semiHidden/>
    <w:qFormat/>
    <w:uiPriority w:val="0"/>
    <w:pPr>
      <w:snapToGrid w:val="0"/>
      <w:jc w:val="left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spacing w:beforeAutospacing="1" w:afterAutospacing="1" w:line="360" w:lineRule="auto"/>
      <w:jc w:val="left"/>
    </w:pPr>
    <w:rPr>
      <w:sz w:val="24"/>
    </w:rPr>
  </w:style>
  <w:style w:type="character" w:customStyle="1" w:styleId="13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14">
    <w:name w:val="页脚 Char"/>
    <w:basedOn w:val="12"/>
    <w:link w:val="7"/>
    <w:qFormat/>
    <w:uiPriority w:val="99"/>
    <w:rPr>
      <w:sz w:val="18"/>
      <w:szCs w:val="18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kern w:val="0"/>
      <w:sz w:val="24"/>
      <w:szCs w:val="24"/>
      <w:lang w:val="en-US" w:eastAsia="zh-CN" w:bidi="ar-SA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批注框文本 Char"/>
    <w:basedOn w:val="12"/>
    <w:link w:val="6"/>
    <w:semiHidden/>
    <w:qFormat/>
    <w:uiPriority w:val="99"/>
    <w:rPr>
      <w:sz w:val="18"/>
      <w:szCs w:val="18"/>
    </w:rPr>
  </w:style>
  <w:style w:type="character" w:customStyle="1" w:styleId="18">
    <w:name w:val="font01"/>
    <w:basedOn w:val="12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9">
    <w:name w:val="font21"/>
    <w:basedOn w:val="12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20">
    <w:name w:val="font11"/>
    <w:basedOn w:val="12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25</Pages>
  <Words>5325</Words>
  <Characters>5712</Characters>
  <Lines>63</Lines>
  <Paragraphs>18</Paragraphs>
  <TotalTime>1</TotalTime>
  <ScaleCrop>false</ScaleCrop>
  <LinksUpToDate>false</LinksUpToDate>
  <CharactersWithSpaces>5728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2020-07-10T18:32:00Z</dcterms:created>
  <dc:creator>李航 null</dc:creator>
  <cp:lastModifiedBy>谢辉红</cp:lastModifiedBy>
  <cp:lastPrinted>2024-08-11T02:20:00Z</cp:lastPrinted>
  <dcterms:modified xsi:type="dcterms:W3CDTF">2025-09-25T06:44:22Z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4F038FC7A2204A4DA17F520E3189CEFF_13</vt:lpwstr>
  </property>
  <property fmtid="{D5CDD505-2E9C-101B-9397-08002B2CF9AE}" pid="4" name="KSOTemplateDocerSaveRecord">
    <vt:lpwstr>eyJoZGlkIjoiMDhiMjMzN2ViZjY0MjY3MzljZmI3MzBhNDgzNTE0ZmUiLCJ1c2VySWQiOiIxMDQ1NzU2MzIxIn0=</vt:lpwstr>
  </property>
</Properties>
</file>