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39DFE">
      <w:pPr>
        <w:widowControl/>
        <w:jc w:val="center"/>
        <w:rPr>
          <w:rFonts w:hint="eastAsia" w:ascii="微软雅黑" w:hAnsi="微软雅黑" w:eastAsia="微软雅黑" w:cs="微软雅黑"/>
          <w:kern w:val="0"/>
          <w:sz w:val="72"/>
          <w:szCs w:val="72"/>
        </w:rPr>
      </w:pPr>
    </w:p>
    <w:p w14:paraId="67662526">
      <w:pPr>
        <w:widowControl/>
        <w:jc w:val="center"/>
        <w:rPr>
          <w:rFonts w:hint="eastAsia" w:ascii="微软雅黑" w:hAnsi="微软雅黑" w:eastAsia="微软雅黑" w:cs="微软雅黑"/>
          <w:kern w:val="0"/>
          <w:sz w:val="72"/>
          <w:szCs w:val="72"/>
        </w:rPr>
      </w:pPr>
    </w:p>
    <w:p w14:paraId="4343E132">
      <w:pPr>
        <w:widowControl/>
        <w:jc w:val="center"/>
        <w:rPr>
          <w:rFonts w:hint="eastAsia" w:ascii="微软雅黑" w:hAnsi="微软雅黑" w:eastAsia="微软雅黑" w:cs="微软雅黑"/>
          <w:kern w:val="0"/>
          <w:sz w:val="72"/>
          <w:szCs w:val="72"/>
        </w:rPr>
      </w:pPr>
    </w:p>
    <w:p w14:paraId="5E1A438B"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中共岳阳市委组织部</w:t>
      </w:r>
    </w:p>
    <w:p w14:paraId="7FE9B439"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202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年度</w:t>
      </w:r>
    </w:p>
    <w:p w14:paraId="0FC7286C"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部门预算</w:t>
      </w:r>
    </w:p>
    <w:p w14:paraId="5E15EBF0"/>
    <w:p w14:paraId="65480C2C"/>
    <w:p w14:paraId="3D711F15"/>
    <w:p w14:paraId="5160BC27"/>
    <w:p w14:paraId="7453E20E"/>
    <w:p w14:paraId="3CD7665A"/>
    <w:p w14:paraId="720EA7AF"/>
    <w:p w14:paraId="1B70AB1A"/>
    <w:p w14:paraId="1AD08089"/>
    <w:p w14:paraId="5E7DFBF1"/>
    <w:p w14:paraId="5B7B57D5"/>
    <w:p w14:paraId="5E27515E"/>
    <w:p w14:paraId="07F25551"/>
    <w:p w14:paraId="0B6C9F7B"/>
    <w:p w14:paraId="7B9DC806"/>
    <w:p w14:paraId="7B7BC05D"/>
    <w:p w14:paraId="2E79AB38"/>
    <w:p w14:paraId="05C0B0A8"/>
    <w:p w14:paraId="311C7B33"/>
    <w:p w14:paraId="6B39082A"/>
    <w:p w14:paraId="4CB22881">
      <w:pPr>
        <w:rPr>
          <w:rFonts w:hint="eastAsia" w:ascii="黑体" w:hAnsi="黑体" w:eastAsia="黑体" w:cs="黑体"/>
          <w:kern w:val="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-SA"/>
        </w:rPr>
        <w:br w:type="page"/>
      </w:r>
    </w:p>
    <w:p w14:paraId="21E0941F">
      <w:pPr>
        <w:widowControl/>
        <w:autoSpaceDE/>
        <w:autoSpaceDN/>
        <w:adjustRightInd/>
        <w:spacing w:beforeLines="-2147483648" w:afterLines="-2147483648"/>
        <w:jc w:val="center"/>
        <w:rPr>
          <w:rFonts w:hint="eastAsia" w:ascii="黑体" w:hAnsi="黑体" w:eastAsia="黑体" w:cs="黑体"/>
          <w:kern w:val="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-SA"/>
        </w:rPr>
        <w:t>目  录</w:t>
      </w:r>
    </w:p>
    <w:p w14:paraId="47614E66">
      <w:pPr>
        <w:rPr>
          <w:rFonts w:hint="eastAsia"/>
          <w:sz w:val="32"/>
          <w:szCs w:val="32"/>
        </w:rPr>
      </w:pPr>
    </w:p>
    <w:p w14:paraId="6DF08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第一部分  2026年部门预算说明</w:t>
      </w:r>
    </w:p>
    <w:p w14:paraId="734FB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第二部分  2026年部门预算公开表格</w:t>
      </w:r>
    </w:p>
    <w:p w14:paraId="308EB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1、收支总表</w:t>
      </w:r>
    </w:p>
    <w:p w14:paraId="4FB5C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2、收入总表</w:t>
      </w:r>
    </w:p>
    <w:p w14:paraId="478B3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3、支出总表</w:t>
      </w:r>
    </w:p>
    <w:p w14:paraId="580ED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4、支出预算分类汇总表（按政府预算经济分类）</w:t>
      </w:r>
    </w:p>
    <w:p w14:paraId="5EAF2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5、支出预算分类汇总表（按部门预算经济分类）</w:t>
      </w:r>
    </w:p>
    <w:p w14:paraId="1D4CE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6、财政拨款收支总表</w:t>
      </w:r>
    </w:p>
    <w:p w14:paraId="29706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7、一般公共预算支出表</w:t>
      </w:r>
    </w:p>
    <w:p w14:paraId="0A52E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8、一般公共预算基本支出表-人员经费（工资福利支出）（按政府预算经济分类）</w:t>
      </w:r>
    </w:p>
    <w:p w14:paraId="1E068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9、一般公共预算基本支出表-人员经费（工资福利支出）（按部门预算经济分类）</w:t>
      </w:r>
    </w:p>
    <w:p w14:paraId="16876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10、一般公共预算基本支出表-人员经费（对个人和家庭的补助）（按政府预算经济分类）</w:t>
      </w:r>
    </w:p>
    <w:p w14:paraId="03CCF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11、一般公共预算基本支出表-人员经费（对个人和家庭的补助）（按部门预算经济分类）</w:t>
      </w:r>
    </w:p>
    <w:p w14:paraId="04EFB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12、一般公共预算基本支出表-公用经费（商品和服务支出）（按政府预算经济分类）</w:t>
      </w:r>
    </w:p>
    <w:p w14:paraId="0FEDD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13、一般公共预算基本支出表-公用经费（商品和服务支出）（按部门预算经济分类）</w:t>
      </w:r>
    </w:p>
    <w:p w14:paraId="3B8EB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14、一般公共预算“三公”经费支出表</w:t>
      </w:r>
    </w:p>
    <w:p w14:paraId="58695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15、政府性基金预算支出表</w:t>
      </w:r>
    </w:p>
    <w:p w14:paraId="2B9AF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16、政府性基金预算支出分类汇总表（按政府预算经济分类）</w:t>
      </w:r>
    </w:p>
    <w:p w14:paraId="2EDA6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17、政府性基金预算支出分类汇总表（按部门预算经济分类）</w:t>
      </w:r>
    </w:p>
    <w:p w14:paraId="68E2E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18、国有资本经营预算支出表</w:t>
      </w:r>
    </w:p>
    <w:p w14:paraId="5FE12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19、财政专户管理资金预算支出表</w:t>
      </w:r>
    </w:p>
    <w:p w14:paraId="320E4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20、专项资金预算汇总表</w:t>
      </w:r>
    </w:p>
    <w:p w14:paraId="6ED88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21、项目支出绩效目标表</w:t>
      </w:r>
    </w:p>
    <w:p w14:paraId="46EF9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22、部门整体支出绩效目标表</w:t>
      </w:r>
    </w:p>
    <w:p w14:paraId="36618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23、一般公共预算基本支出表</w:t>
      </w:r>
    </w:p>
    <w:p w14:paraId="1AC63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FF0000"/>
          <w:kern w:val="2"/>
          <w:sz w:val="32"/>
          <w:szCs w:val="32"/>
          <w:lang w:val="en-US" w:eastAsia="zh-CN" w:bidi="ar-SA"/>
        </w:rPr>
        <w:t>注：以上部门预算公开报表中，空表表示本部门无相关收支情况。</w:t>
      </w:r>
    </w:p>
    <w:p w14:paraId="4C272D3A">
      <w:pPr>
        <w:autoSpaceDE/>
        <w:autoSpaceDN/>
        <w:adjustRightInd/>
        <w:spacing w:beforeLines="-2147483648" w:afterLines="-2147483648"/>
        <w:ind w:firstLine="640" w:firstLineChars="200"/>
        <w:jc w:val="both"/>
        <w:rPr>
          <w:rFonts w:hint="eastAsia" w:ascii="仿宋_GB2312" w:eastAsia="仿宋_GB2312" w:hAnsiTheme="minorHAnsi" w:cstheme="minorBidi"/>
          <w:color w:val="FF0000"/>
          <w:kern w:val="2"/>
          <w:sz w:val="32"/>
          <w:szCs w:val="32"/>
          <w:lang w:val="en-US" w:eastAsia="zh-CN" w:bidi="ar-SA"/>
        </w:rPr>
      </w:pPr>
    </w:p>
    <w:p w14:paraId="0135398C">
      <w:pPr>
        <w:autoSpaceDE/>
        <w:autoSpaceDN/>
        <w:adjustRightInd/>
        <w:spacing w:beforeLines="-2147483648" w:afterLines="-2147483648"/>
        <w:ind w:firstLine="640" w:firstLineChars="200"/>
        <w:jc w:val="both"/>
        <w:rPr>
          <w:rFonts w:hint="eastAsia" w:ascii="仿宋_GB2312" w:eastAsia="仿宋_GB2312" w:hAnsiTheme="minorHAnsi" w:cstheme="minorBidi"/>
          <w:color w:val="FF0000"/>
          <w:kern w:val="2"/>
          <w:sz w:val="32"/>
          <w:szCs w:val="32"/>
          <w:lang w:val="en-US" w:eastAsia="zh-CN" w:bidi="ar-SA"/>
        </w:rPr>
      </w:pPr>
    </w:p>
    <w:p w14:paraId="42A56E0C">
      <w:pPr>
        <w:autoSpaceDE/>
        <w:autoSpaceDN/>
        <w:adjustRightInd/>
        <w:spacing w:beforeLines="-2147483648" w:afterLines="-2147483648"/>
        <w:ind w:firstLine="640" w:firstLineChars="200"/>
        <w:jc w:val="both"/>
        <w:rPr>
          <w:rFonts w:hint="eastAsia" w:ascii="仿宋_GB2312" w:eastAsia="仿宋_GB2312" w:hAnsiTheme="minorHAnsi" w:cstheme="minorBidi"/>
          <w:color w:val="FF0000"/>
          <w:kern w:val="2"/>
          <w:sz w:val="32"/>
          <w:szCs w:val="32"/>
          <w:lang w:val="en-US" w:eastAsia="zh-CN" w:bidi="ar-SA"/>
        </w:rPr>
      </w:pPr>
    </w:p>
    <w:p w14:paraId="3784B1A8">
      <w:pPr>
        <w:autoSpaceDE/>
        <w:autoSpaceDN/>
        <w:adjustRightInd/>
        <w:spacing w:beforeLines="-2147483648" w:afterLines="-2147483648"/>
        <w:ind w:firstLine="640" w:firstLineChars="200"/>
        <w:jc w:val="both"/>
        <w:rPr>
          <w:rFonts w:hint="eastAsia" w:ascii="仿宋_GB2312" w:eastAsia="仿宋_GB2312" w:hAnsiTheme="minorHAnsi" w:cstheme="minorBidi"/>
          <w:color w:val="FF0000"/>
          <w:kern w:val="2"/>
          <w:sz w:val="32"/>
          <w:szCs w:val="32"/>
          <w:lang w:val="en-US" w:eastAsia="zh-CN" w:bidi="ar-SA"/>
        </w:rPr>
      </w:pPr>
    </w:p>
    <w:p w14:paraId="3133F2A7">
      <w:pPr>
        <w:autoSpaceDE/>
        <w:autoSpaceDN/>
        <w:adjustRightInd/>
        <w:spacing w:beforeLines="-2147483648" w:afterLines="-2147483648"/>
        <w:ind w:firstLine="640" w:firstLineChars="200"/>
        <w:jc w:val="both"/>
        <w:rPr>
          <w:rFonts w:hint="eastAsia" w:ascii="仿宋_GB2312" w:eastAsia="仿宋_GB2312" w:hAnsiTheme="minorHAnsi" w:cstheme="minorBidi"/>
          <w:color w:val="FF0000"/>
          <w:kern w:val="2"/>
          <w:sz w:val="32"/>
          <w:szCs w:val="32"/>
          <w:lang w:val="en-US" w:eastAsia="zh-CN" w:bidi="ar-SA"/>
        </w:rPr>
      </w:pPr>
    </w:p>
    <w:p w14:paraId="61B06662">
      <w:pPr>
        <w:autoSpaceDE/>
        <w:autoSpaceDN/>
        <w:adjustRightInd/>
        <w:spacing w:beforeLines="-2147483648" w:afterLines="-2147483648"/>
        <w:ind w:firstLine="640" w:firstLineChars="200"/>
        <w:jc w:val="both"/>
        <w:rPr>
          <w:rFonts w:hint="eastAsia" w:ascii="仿宋_GB2312" w:eastAsia="仿宋_GB2312" w:hAnsiTheme="minorHAnsi" w:cstheme="minorBidi"/>
          <w:color w:val="FF0000"/>
          <w:kern w:val="2"/>
          <w:sz w:val="32"/>
          <w:szCs w:val="32"/>
          <w:lang w:val="en-US" w:eastAsia="zh-CN" w:bidi="ar-SA"/>
        </w:rPr>
      </w:pPr>
    </w:p>
    <w:p w14:paraId="037305A0">
      <w:pPr>
        <w:autoSpaceDE/>
        <w:autoSpaceDN/>
        <w:adjustRightInd/>
        <w:spacing w:beforeLines="-2147483648" w:afterLines="-2147483648"/>
        <w:ind w:firstLine="640" w:firstLineChars="200"/>
        <w:jc w:val="both"/>
        <w:rPr>
          <w:rFonts w:hint="eastAsia" w:ascii="仿宋_GB2312" w:eastAsia="仿宋_GB2312" w:hAnsiTheme="minorHAnsi" w:cstheme="minorBidi"/>
          <w:color w:val="FF0000"/>
          <w:kern w:val="2"/>
          <w:sz w:val="32"/>
          <w:szCs w:val="32"/>
          <w:lang w:val="en-US" w:eastAsia="zh-CN" w:bidi="ar-SA"/>
        </w:rPr>
      </w:pPr>
    </w:p>
    <w:p w14:paraId="2AD4940F">
      <w:pPr>
        <w:autoSpaceDE/>
        <w:autoSpaceDN/>
        <w:adjustRightInd/>
        <w:spacing w:beforeLines="-2147483648" w:afterLines="-2147483648"/>
        <w:jc w:val="center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2B52E9A">
      <w:pPr>
        <w:autoSpaceDE/>
        <w:autoSpaceDN/>
        <w:adjustRightInd/>
        <w:spacing w:beforeLines="-2147483648" w:afterLines="-2147483648"/>
        <w:jc w:val="center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第一部分  2026年部门预算说明</w:t>
      </w:r>
    </w:p>
    <w:p w14:paraId="0FE087B8">
      <w:pPr>
        <w:autoSpaceDE/>
        <w:autoSpaceDN/>
        <w:adjustRightInd/>
        <w:spacing w:beforeLines="-2147483648" w:afterLines="-2147483648"/>
        <w:ind w:firstLine="640" w:firstLineChars="200"/>
        <w:jc w:val="both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</w:p>
    <w:p w14:paraId="230AF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一、部门基本概况</w:t>
      </w:r>
    </w:p>
    <w:p w14:paraId="30301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（一）职能职责</w:t>
      </w:r>
    </w:p>
    <w:p w14:paraId="7E747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（1）职能职责因为岳办〔2024〕19号文件涉密，此部分内容不公开。</w:t>
      </w:r>
    </w:p>
    <w:p w14:paraId="14531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（二）机构设置</w:t>
      </w:r>
    </w:p>
    <w:p w14:paraId="20B8A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 xml:space="preserve">根据市委编办核定，我部内设机构分别是办公室、研究室（政策法规科）、政工科、督查与新闻宣传科、干部一科、干部二科、干部三科、干部四科、干部队伍建设规划办公室、公务员一科、公务员二科、干部信息管理科、干部教育科、干部监督科、信访举报科、党建办、组织一科、组织二科、人才工作办、绩效考核一科、绩效考核二科、机关党委、机关纪委、党员教育中心和人才发展服务中心。   </w:t>
      </w:r>
    </w:p>
    <w:p w14:paraId="1EEB6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二、部门预算构成</w:t>
      </w:r>
    </w:p>
    <w:p w14:paraId="7293B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本部门预算为汇总预算，纳入编制范围的预算单位包括：</w:t>
      </w:r>
    </w:p>
    <w:p w14:paraId="02BDD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1、中共岳阳市委组织部本级</w:t>
      </w:r>
    </w:p>
    <w:p w14:paraId="4D9BE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三、部门收支总体情况</w:t>
      </w:r>
    </w:p>
    <w:p w14:paraId="57E5E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本部门2026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</w:r>
    </w:p>
    <w:p w14:paraId="51AA8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3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（一）收入预算</w:t>
      </w:r>
    </w:p>
    <w:p w14:paraId="316F0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包括一般公共预算、政府性基金、国有资本经营预算等财政拨款收入，以及经营收入、事业收入等单位资金。2026年度本部门收入预算1445.33万元，其中，一般公共预算拨款1445.33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部门2026年收入较去年增加58.27万元，上升4.2%，主要是因为财政预算指标下达方式有所变化。</w:t>
      </w:r>
    </w:p>
    <w:p w14:paraId="69602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3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（二）支出预算</w:t>
      </w:r>
    </w:p>
    <w:p w14:paraId="20516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2026年本部门支出预算1445.33万元，其中，201一般公共服务支出1083.26万元，208社会保障和就业支出225.11万元，210卫生健康支出59.31万元，221住房保障支出77.64万元，支出较去年增加58.27万元，上升4.2%，主要是因为财政预算指标下达方式有所变化。</w:t>
      </w:r>
    </w:p>
    <w:p w14:paraId="48ADB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四、一般公共预算拨款支出预算</w:t>
      </w:r>
    </w:p>
    <w:p w14:paraId="23331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2026年一般公共预算拨款支出预算1445.33万元，其中，201一般公共服务支出1083.26万元，占74.95%；208社会保障和就业支出225.11万元，占15.58%；210卫生健康支出59.31万元，占4.1%；221住房保障支出77.64万元，占5.37%；具体安排情况如下：</w:t>
      </w:r>
    </w:p>
    <w:p w14:paraId="60839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3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（一）基本支出：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2026年基本支出年初预算数为1445.33万元（数据来源见表23），是指为保障单位机构正常运转、完成日常工作任务而发生的各项支出，包括用于基本工资、津贴补贴等人员经费以及办公费、印刷费、水电费、差旅费等日常公用经费。</w:t>
      </w:r>
    </w:p>
    <w:p w14:paraId="351DA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3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（二）项目支出：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2026年项目支出年初预算数为0万元（数据来源见表20），是指部门为完成特定行政工作任务或事业发展目标而发生的支出，包括有关业务工作经费、运行维护经费、其他事业发展资金等。本部门当年无项目支出。</w:t>
      </w:r>
    </w:p>
    <w:p w14:paraId="3164B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五、政府性基金预算支出</w:t>
      </w:r>
    </w:p>
    <w:p w14:paraId="407C5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2026年度本部门无政府性基金安排的支出，所以公开的附件15-17（政府性基金预算）为空。</w:t>
      </w:r>
    </w:p>
    <w:p w14:paraId="020EC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六、其他重要事项的情况说明</w:t>
      </w:r>
    </w:p>
    <w:p w14:paraId="2935C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（一）机关运行经费</w:t>
      </w:r>
    </w:p>
    <w:p w14:paraId="28F95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本部门2026年机关运行经费当年一般公共预算拨款297.91万元（数据来源见表12），比上一年增加98.89万元，上升49.69%，主要原因是财政预算指标下达方式有所变化。</w:t>
      </w:r>
    </w:p>
    <w:p w14:paraId="1F853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（二）“三公”经费预算</w:t>
      </w:r>
    </w:p>
    <w:p w14:paraId="2808C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本部门2026年“三公”经费预算数38.00万元（数据来源见表14），其中，公务接待费10.00万元，因公出国（境）费0.00万元，公务用车购置及运行费28.00万元（其中，公务用车购置费18.00万元，公务用车运行费10.00万元）。2026年三公经费预算较上年增加2万元，上升5.6%，主要原因是新增购置车辆一台。</w:t>
      </w:r>
    </w:p>
    <w:p w14:paraId="2E06A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（三）一般性支出情况</w:t>
      </w:r>
    </w:p>
    <w:p w14:paraId="66B13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本部门2026年会议费预算4.00万元（数据来源见表13会议费、培训费），拟召开5次会议，人数260人，内容为全市组织部长会议、党建工作述职会、全市领导干部大会等；培训费预算1.00万元，拟开展1次培训，人数130人，内容为开展全市组工干部培训使用；2026年度本部门未计划举办节庆、晚会、论坛、赛事活动。</w:t>
      </w:r>
    </w:p>
    <w:p w14:paraId="4525C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（四）委托业务费情况</w:t>
      </w:r>
    </w:p>
    <w:p w14:paraId="0D73A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本部门2026年本级等1家行政事业单位委托业务费15万元，比上年预算增加15万元，上升100%，主要原因是财政预算指标下达方式有所变化。</w:t>
      </w:r>
    </w:p>
    <w:p w14:paraId="544FE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（五）政府采购情况</w:t>
      </w:r>
    </w:p>
    <w:p w14:paraId="3CACC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本部门2026年政府采购预算总额181万元，其中工程类0万元，货物类91万元，服务类90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万元。</w:t>
      </w:r>
    </w:p>
    <w:p w14:paraId="03411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（六）国有资产占有使用及新增资产配置情况</w:t>
      </w:r>
    </w:p>
    <w:p w14:paraId="1036C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 xml:space="preserve">截至上年底，本部门共有车辆2辆，其中领导干部用车0辆，一般公务用车2辆，其他用车0辆。单位价值50万元以上通用设备0台，单位价值100万元以上专用设备0台。 </w:t>
      </w:r>
    </w:p>
    <w:p w14:paraId="1083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2026年拟报废处置车辆0辆，其中：报废处置领导干部用车0辆，报废处置一般公务用车0辆，报废处置其他用车0辆，报废处置单位价值50万元以上通用设备0台，报废处置单位价值100万元以上通用设备0台。拟新增配置车辆1辆，其中领导干部用车0辆，一般公务用车1辆，其他用车0辆，主要用于机要保障，资金来源为公用经费。</w:t>
      </w:r>
    </w:p>
    <w:p w14:paraId="29BDB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（七）预算绩效目标说明</w:t>
      </w:r>
    </w:p>
    <w:p w14:paraId="57F4A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本部门所有支出实行绩效目标管理。纳入2026年部门整体支出绩效目标的金额为1445.33万元，其中，基本支出1445.33万元，项目支出0.00万元，详见文尾附表中部门预算公开表格的表21-22。</w:t>
      </w:r>
    </w:p>
    <w:p w14:paraId="19359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七、名词解释</w:t>
      </w:r>
    </w:p>
    <w:p w14:paraId="18F51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3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1、机关运行经费：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3C6AD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3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2、“三公”经费：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</w:r>
    </w:p>
    <w:p w14:paraId="149AA613">
      <w:pPr>
        <w:autoSpaceDE/>
        <w:autoSpaceDN/>
        <w:adjustRightInd/>
        <w:spacing w:beforeLines="-2147483648" w:afterLines="-2147483648"/>
        <w:ind w:firstLine="640" w:firstLineChars="20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第二部分  2026年部门预算公开表格</w:t>
      </w:r>
    </w:p>
    <w:p w14:paraId="48CE09F7">
      <w:pPr>
        <w:autoSpaceDE/>
        <w:autoSpaceDN/>
        <w:adjustRightInd/>
        <w:spacing w:beforeLines="-2147483648" w:afterLines="-2147483648"/>
        <w:ind w:firstLine="640" w:firstLineChars="200"/>
        <w:jc w:val="both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</w:p>
    <w:p w14:paraId="42FF0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1、收支总表</w:t>
      </w:r>
    </w:p>
    <w:p w14:paraId="79F5D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2、收入总表</w:t>
      </w:r>
    </w:p>
    <w:p w14:paraId="58254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3、支出总表</w:t>
      </w:r>
    </w:p>
    <w:p w14:paraId="08990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4、支出预算分类汇总表（按政府预算经济分类）</w:t>
      </w:r>
    </w:p>
    <w:p w14:paraId="5114B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5、支出预算分类汇总表（按部门预算经济分类）</w:t>
      </w:r>
    </w:p>
    <w:p w14:paraId="5EE74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6、财政拨款收支总表</w:t>
      </w:r>
    </w:p>
    <w:p w14:paraId="26255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7、一般公共预算支出表</w:t>
      </w:r>
    </w:p>
    <w:p w14:paraId="5CC30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8、一般公共预算基本支出表-人员经费（工资福利支出）（按政府预算经济分类）</w:t>
      </w:r>
    </w:p>
    <w:p w14:paraId="1F29F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9、一般公共预算基本支出表-人员经费（工资福利支出）（按部门预算经济分类）</w:t>
      </w:r>
    </w:p>
    <w:p w14:paraId="79BAE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10、一般公共预算基本支出表-人员经费（对个人和家庭的补助）（按政府预算经济分类）</w:t>
      </w:r>
    </w:p>
    <w:p w14:paraId="1B430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11、一般公共预算基本支出表-人员经费（对个人和家庭的补助）（按部门预算经济分类）</w:t>
      </w:r>
    </w:p>
    <w:p w14:paraId="48B99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12、一般公共预算基本支出表-公用经费（商品和服务支出）（按政府预算经济分类）</w:t>
      </w:r>
    </w:p>
    <w:p w14:paraId="0C8A1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13、一般公共预算基本支出表-公用经费（商品和服务支出）（按部门预算经济分类）</w:t>
      </w:r>
    </w:p>
    <w:p w14:paraId="7DD7A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14、一般公共预算“三公”经费支出表</w:t>
      </w:r>
    </w:p>
    <w:p w14:paraId="4815A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15、政府性基金预算支出表</w:t>
      </w:r>
    </w:p>
    <w:p w14:paraId="7242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16、政府性基金预算支出分类汇总表（按政府预算经济分类）</w:t>
      </w:r>
    </w:p>
    <w:p w14:paraId="515F2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17、政府性基金预算支出分类汇总表（按部门预算经济分类）</w:t>
      </w:r>
    </w:p>
    <w:p w14:paraId="7A8B7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18、国有资本经营预算支出表</w:t>
      </w:r>
    </w:p>
    <w:p w14:paraId="45770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19、财政专户管理资金预算支出表</w:t>
      </w:r>
    </w:p>
    <w:p w14:paraId="45C82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20、专项资金预算汇总表</w:t>
      </w:r>
    </w:p>
    <w:p w14:paraId="02749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21、项目支出绩效目标表</w:t>
      </w:r>
    </w:p>
    <w:p w14:paraId="135DE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22、部门整体支出绩效目标表</w:t>
      </w:r>
    </w:p>
    <w:p w14:paraId="00194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23、一般公共预算基本支出表</w:t>
      </w:r>
    </w:p>
    <w:p w14:paraId="5C00C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FF0000"/>
          <w:kern w:val="2"/>
          <w:sz w:val="32"/>
          <w:szCs w:val="32"/>
          <w:lang w:val="en-US" w:eastAsia="zh-CN" w:bidi="ar-SA"/>
        </w:rPr>
        <w:t>注：以上部门预算公开报表中，空表表示本部门无相关收支情况。</w:t>
      </w:r>
    </w:p>
    <w:sectPr>
      <w:footerReference r:id="rId4" w:type="default"/>
      <w:pgSz w:w="11906" w:h="16838"/>
      <w:pgMar w:top="1701" w:right="1701" w:bottom="1701" w:left="170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仿宋_GB2312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769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A0FD4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A0FD4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ZDc5NDg5NjE1NDkwOTI0N2UzZTU3MTE4YzNmNDQifQ=="/>
  </w:docVars>
  <w:rsids>
    <w:rsidRoot w:val="00000000"/>
    <w:rsid w:val="5EFE18B8"/>
    <w:rsid w:val="5F0744CC"/>
    <w:rsid w:val="5F59AE96"/>
    <w:rsid w:val="64C70520"/>
    <w:rsid w:val="6B861654"/>
    <w:rsid w:val="7FF3A552"/>
    <w:rsid w:val="D6C3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after="200" w:afterLines="0" w:line="276" w:lineRule="auto"/>
    </w:pPr>
    <w:rPr>
      <w:rFonts w:hint="default" w:ascii="Arial" w:hAnsi="Arial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2026-04-18T00:21:00Z</dcterms:created>
  <dc:creator>Administrator</dc:creator>
  <cp:lastModifiedBy>yyadmin</cp:lastModifiedBy>
  <cp:lastPrinted>2026-04-21T17:24:00Z</cp:lastPrinted>
  <dcterms:modified xsi:type="dcterms:W3CDTF">2026-04-21T11:26:29Z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A622F2E0CE85A6BC65EEE669B71935F9_43</vt:lpwstr>
  </property>
</Properties>
</file>