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E4192"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 w14:paraId="25925647">
      <w:pPr>
        <w:spacing w:after="120" w:afterLines="50" w:line="600" w:lineRule="exact"/>
        <w:jc w:val="center"/>
        <w:rPr>
          <w:rFonts w:hint="eastAsia" w:ascii="方正小标宋简体" w:hAnsi="方正小标宋简体" w:eastAsia="方正小标宋简体" w:cs="方正小标宋简体"/>
          <w:sz w:val="2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年度部门整体支出绩效评价基础数据表</w:t>
      </w:r>
    </w:p>
    <w:tbl>
      <w:tblPr>
        <w:tblStyle w:val="8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959"/>
        <w:gridCol w:w="1193"/>
        <w:gridCol w:w="1065"/>
        <w:gridCol w:w="1064"/>
      </w:tblGrid>
      <w:tr w14:paraId="0D37D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ED2C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C09B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编制数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BCF2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年实际在职人数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E96F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控制率</w:t>
            </w:r>
          </w:p>
        </w:tc>
      </w:tr>
      <w:tr w14:paraId="069B7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2E593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B9067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C2F1A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94068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</w:tr>
      <w:tr w14:paraId="7354F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63BC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6521D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61C35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年预算数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B4859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</w:tr>
      <w:tr w14:paraId="2F920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A786D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579650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2.38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85A2A3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.20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D8D795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2.38</w:t>
            </w:r>
          </w:p>
        </w:tc>
      </w:tr>
      <w:tr w14:paraId="1B55A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E8A58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CFB99B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2.32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B12310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.00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E11978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2.38</w:t>
            </w:r>
          </w:p>
        </w:tc>
      </w:tr>
      <w:tr w14:paraId="337B7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71D7A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7A5C7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6626D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DC9550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/>
              </w:rPr>
            </w:pPr>
          </w:p>
        </w:tc>
      </w:tr>
      <w:tr w14:paraId="65FC2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D9F99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C9B6AC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2.32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1F451C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.00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445EB7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2.38</w:t>
            </w:r>
          </w:p>
        </w:tc>
      </w:tr>
      <w:tr w14:paraId="33FDD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4D010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8B17C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A0EB7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F11069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/>
              </w:rPr>
            </w:pPr>
          </w:p>
        </w:tc>
      </w:tr>
      <w:tr w14:paraId="0C526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76CFC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26A98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0.06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7740DD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B46D73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46C37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064A0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CA345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1279.24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E7F7E5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.00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068685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564.35</w:t>
            </w:r>
          </w:p>
        </w:tc>
      </w:tr>
      <w:tr w14:paraId="1ADC3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B615E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1、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业务工作经费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F7C825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92202A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  <w:t>25.00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5DBB4F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2256B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415A3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9AB0A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F477A2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1AF98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1E3CB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295AE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、专项资金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CE24C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1279.24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419DE7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A356AC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564.35</w:t>
            </w:r>
          </w:p>
        </w:tc>
      </w:tr>
      <w:tr w14:paraId="4F5D3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D84C1">
            <w:pPr>
              <w:widowControl/>
              <w:spacing w:line="360" w:lineRule="exact"/>
              <w:ind w:firstLine="400" w:firstLineChars="200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办案费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14E02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  <w:t>2.36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948175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672831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1.96</w:t>
            </w:r>
          </w:p>
        </w:tc>
      </w:tr>
      <w:tr w14:paraId="2C126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0AE89">
            <w:pPr>
              <w:widowControl/>
              <w:spacing w:line="360" w:lineRule="exact"/>
              <w:ind w:firstLine="400" w:firstLineChars="200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环境监测、监控及监察能力建设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EB7B3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2.44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F4BF85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655E32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46B7E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36AA4">
            <w:pPr>
              <w:widowControl/>
              <w:spacing w:line="360" w:lineRule="exact"/>
              <w:ind w:firstLine="400" w:firstLineChars="200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环境监察监测等运行经费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F19E96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28.51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5270F0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F05BA8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25.00</w:t>
            </w:r>
          </w:p>
        </w:tc>
      </w:tr>
      <w:tr w14:paraId="694E8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AE1B6">
            <w:pPr>
              <w:widowControl/>
              <w:spacing w:line="360" w:lineRule="exact"/>
              <w:ind w:firstLine="400" w:firstLineChars="200"/>
              <w:jc w:val="both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2020中央水污染防治专项（钱粮湖垸黑臭河道湖泊及水塘综合治理）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61431B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50.00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740ECA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270D7A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07437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2D6A3">
            <w:pPr>
              <w:widowControl/>
              <w:spacing w:line="360" w:lineRule="exact"/>
              <w:ind w:firstLine="400" w:firstLineChars="200"/>
              <w:jc w:val="both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2022年中央重点生态保护修复治理（东洞庭湖滨带君山工濠河水环境综合治理项目）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C5DBE3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1141.97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EA155E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A54476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74DDA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0229B">
            <w:pPr>
              <w:widowControl/>
              <w:spacing w:line="360" w:lineRule="exact"/>
              <w:ind w:firstLine="400" w:firstLineChars="200"/>
              <w:jc w:val="both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水生态环境质量专项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113E1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17.96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E9565F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7D0F33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0.04</w:t>
            </w:r>
          </w:p>
        </w:tc>
      </w:tr>
      <w:tr w14:paraId="393ED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041AE">
            <w:pPr>
              <w:widowControl/>
              <w:spacing w:line="360" w:lineRule="exact"/>
              <w:ind w:firstLine="400" w:firstLineChars="200"/>
              <w:jc w:val="both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污染防治攻坚专项经费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6EC59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26.00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5CAC9F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7CB242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6C056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594A6">
            <w:pPr>
              <w:widowControl/>
              <w:spacing w:line="360" w:lineRule="exact"/>
              <w:ind w:firstLine="400" w:firstLineChars="200"/>
              <w:jc w:val="both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2023年省级环保专项资金（第三批）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7EB8F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10.00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446D6E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E6580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19.80</w:t>
            </w:r>
          </w:p>
        </w:tc>
      </w:tr>
      <w:tr w14:paraId="64B8B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B63AA">
            <w:pPr>
              <w:widowControl/>
              <w:spacing w:line="360" w:lineRule="exact"/>
              <w:ind w:firstLine="400" w:firstLineChars="200"/>
              <w:jc w:val="both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2025年第二批省级环保专项资金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79D0B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B5A526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77822D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29.10</w:t>
            </w:r>
          </w:p>
        </w:tc>
      </w:tr>
      <w:tr w14:paraId="148F3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D58F6">
            <w:pPr>
              <w:widowControl/>
              <w:spacing w:line="360" w:lineRule="exact"/>
              <w:ind w:firstLine="400" w:firstLineChars="200"/>
              <w:jc w:val="both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2025年秸秆焚烧管控专项资金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E497B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7706E5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5312D9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22.00</w:t>
            </w:r>
          </w:p>
        </w:tc>
      </w:tr>
      <w:tr w14:paraId="3FF6D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8D687">
            <w:pPr>
              <w:widowControl/>
              <w:spacing w:line="360" w:lineRule="exact"/>
              <w:ind w:firstLine="400" w:firstLineChars="200"/>
              <w:jc w:val="both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2022年中央重点生态保护修复治理（东洞庭湖滨带君山工濠河水环境综合治理项目）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3C81D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FA6A16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A006E0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227.44</w:t>
            </w:r>
          </w:p>
        </w:tc>
      </w:tr>
      <w:tr w14:paraId="74673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44557">
            <w:pPr>
              <w:widowControl/>
              <w:spacing w:line="360" w:lineRule="exact"/>
              <w:ind w:firstLine="400" w:firstLineChars="200"/>
              <w:jc w:val="both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2023年全市水环境质量考核奖励资金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6D6D9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266BB4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5F151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5.64</w:t>
            </w:r>
          </w:p>
        </w:tc>
      </w:tr>
      <w:tr w14:paraId="1669F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0E573">
            <w:pPr>
              <w:widowControl/>
              <w:spacing w:line="360" w:lineRule="exact"/>
              <w:ind w:firstLine="400" w:firstLineChars="200"/>
              <w:jc w:val="both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2024年中央大气污染防治资金（第二批）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54449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60DE95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70627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219.00</w:t>
            </w:r>
          </w:p>
        </w:tc>
      </w:tr>
      <w:tr w14:paraId="2ABAB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C6BEB">
            <w:pPr>
              <w:widowControl/>
              <w:spacing w:line="360" w:lineRule="exact"/>
              <w:ind w:firstLine="400" w:firstLineChars="200"/>
              <w:jc w:val="both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2025年工作经费项目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624A0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751BB7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DA0DE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14.37</w:t>
            </w:r>
          </w:p>
        </w:tc>
      </w:tr>
      <w:tr w14:paraId="3BD6B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2A603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09E1E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FF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61.31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5DAA6F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30.4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40EEFA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56.40</w:t>
            </w:r>
          </w:p>
        </w:tc>
      </w:tr>
      <w:tr w14:paraId="42833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E5451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B45866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31.44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353911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21.6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1A85D6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33.96</w:t>
            </w:r>
          </w:p>
        </w:tc>
      </w:tr>
      <w:tr w14:paraId="24F14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8E1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28648E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5.32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5FA7FB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4.5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F5F616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9.23</w:t>
            </w:r>
          </w:p>
        </w:tc>
      </w:tr>
      <w:tr w14:paraId="39A92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E7721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FD53BA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A1C291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95BCD2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698A0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A01BB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AF2EF0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87.49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D3299E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68.05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0A36AF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88.01</w:t>
            </w:r>
          </w:p>
        </w:tc>
      </w:tr>
      <w:tr w14:paraId="701C9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100E9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部门基本支出预算调整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A3209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2D104C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59.61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B7233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</w:tr>
      <w:tr w14:paraId="2335D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6A75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楼堂馆所控制情况</w:t>
            </w:r>
          </w:p>
          <w:p w14:paraId="27F70CC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（202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年完工项目）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C890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批复规模</w:t>
            </w:r>
          </w:p>
          <w:p w14:paraId="457C80C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（㎡）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307F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实际规模（㎡）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EC8B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DECD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预算投资（万元）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C5A9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实际投资（万元）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5FD9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投资概算控制率</w:t>
            </w:r>
          </w:p>
        </w:tc>
      </w:tr>
      <w:tr w14:paraId="1CAE3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67415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7F2C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F247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4CBB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19C4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3D03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03C8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218A7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4145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2B002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严格落实中央八项规定，从严控制“三公”经费。</w:t>
            </w:r>
          </w:p>
        </w:tc>
      </w:tr>
    </w:tbl>
    <w:p w14:paraId="6033DE7B">
      <w:pPr>
        <w:widowControl/>
        <w:spacing w:afterLines="0" w:line="400" w:lineRule="exact"/>
        <w:jc w:val="left"/>
        <w:rPr>
          <w:rFonts w:hint="default" w:ascii="Times New Roman" w:hAnsi="Times New Roman" w:eastAsia="仿宋_GB2312" w:cs="Times New Roman"/>
          <w:sz w:val="16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sz w:val="16"/>
          <w:szCs w:val="18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4B9AFC24">
      <w:pPr>
        <w:widowControl/>
        <w:spacing w:after="0" w:afterLines="0" w:line="400" w:lineRule="exact"/>
        <w:jc w:val="left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t>填表人：</w:t>
      </w:r>
      <w:r>
        <w:rPr>
          <w:rFonts w:hint="eastAsia" w:ascii="Times New Roman" w:hAnsi="Times New Roman" w:eastAsia="仿宋_GB2312" w:cs="Times New Roman"/>
          <w:sz w:val="22"/>
          <w:highlight w:val="non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填报日期：</w:t>
      </w:r>
      <w:r>
        <w:rPr>
          <w:rFonts w:hint="eastAsia" w:ascii="Times New Roman" w:hAnsi="Times New Roman" w:eastAsia="仿宋_GB2312" w:cs="Times New Roman"/>
          <w:sz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联系电话： </w:t>
      </w:r>
      <w:r>
        <w:rPr>
          <w:rFonts w:hint="eastAsia" w:ascii="Times New Roman" w:hAnsi="Times New Roman" w:eastAsia="仿宋_GB2312" w:cs="Times New Roman"/>
          <w:sz w:val="22"/>
          <w:highlight w:val="none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br w:type="page"/>
      </w: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</w:t>
      </w:r>
    </w:p>
    <w:p w14:paraId="4CD3F242">
      <w:pPr>
        <w:widowControl/>
        <w:spacing w:after="120" w:afterLines="50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年度部门整体支出绩效自评表</w:t>
      </w:r>
    </w:p>
    <w:tbl>
      <w:tblPr>
        <w:tblStyle w:val="8"/>
        <w:tblW w:w="1007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075"/>
        <w:gridCol w:w="1027"/>
        <w:gridCol w:w="1265"/>
        <w:gridCol w:w="1310"/>
        <w:gridCol w:w="1264"/>
        <w:gridCol w:w="714"/>
        <w:gridCol w:w="916"/>
        <w:gridCol w:w="1434"/>
      </w:tblGrid>
      <w:tr w14:paraId="61A1D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8CAF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级预算部门名称</w:t>
            </w:r>
          </w:p>
        </w:tc>
        <w:tc>
          <w:tcPr>
            <w:tcW w:w="900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06C0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岳阳市生态环境局君山分局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A7E2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B619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年度预</w:t>
            </w:r>
          </w:p>
          <w:p w14:paraId="33D8A45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算申请</w:t>
            </w:r>
          </w:p>
          <w:p w14:paraId="6A42C37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12C8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F2C3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年初预算数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5B10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全年预算数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D3FA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全年执行数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3FFF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7295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6A48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4B307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3EDD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9A13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24838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195.55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E38CF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796.73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BEFDC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786.47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61FB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5BB32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98.71%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C9DCE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9.87</w:t>
            </w:r>
          </w:p>
        </w:tc>
      </w:tr>
      <w:tr w14:paraId="670FF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201FB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16EC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按收入性质分：</w:t>
            </w:r>
          </w:p>
        </w:tc>
        <w:tc>
          <w:tcPr>
            <w:tcW w:w="432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A6633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按支出性质分：</w:t>
            </w:r>
          </w:p>
        </w:tc>
      </w:tr>
      <w:tr w14:paraId="0CC6C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08243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56651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 xml:space="preserve">  其中：  一般公共预算：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301.48</w:t>
            </w:r>
          </w:p>
        </w:tc>
        <w:tc>
          <w:tcPr>
            <w:tcW w:w="432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BA7E8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其中：基本支出：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222.12</w:t>
            </w:r>
          </w:p>
        </w:tc>
      </w:tr>
      <w:tr w14:paraId="4470A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5F07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E36AE">
            <w:pPr>
              <w:widowControl/>
              <w:spacing w:line="240" w:lineRule="exact"/>
              <w:ind w:firstLine="800" w:firstLineChars="400"/>
              <w:jc w:val="left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政府性基金拨款：</w:t>
            </w:r>
          </w:p>
        </w:tc>
        <w:tc>
          <w:tcPr>
            <w:tcW w:w="432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12848">
            <w:pPr>
              <w:widowControl/>
              <w:spacing w:line="240" w:lineRule="exact"/>
              <w:ind w:firstLine="600" w:firstLineChars="300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564.35</w:t>
            </w:r>
          </w:p>
        </w:tc>
      </w:tr>
      <w:tr w14:paraId="5A1C0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6A32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ACF0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纳入专户管理的非税收入拨款：</w:t>
            </w:r>
          </w:p>
        </w:tc>
        <w:tc>
          <w:tcPr>
            <w:tcW w:w="432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3FF2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BD48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C591D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753B0">
            <w:pPr>
              <w:widowControl/>
              <w:spacing w:line="240" w:lineRule="exact"/>
              <w:ind w:firstLine="1400" w:firstLineChars="700"/>
              <w:jc w:val="left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其他资金：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495.25</w:t>
            </w:r>
          </w:p>
        </w:tc>
        <w:tc>
          <w:tcPr>
            <w:tcW w:w="432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C5E13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2C54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017431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6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03047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3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CB03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7E701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F1BD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E16629">
            <w:pPr>
              <w:widowControl/>
              <w:numPr>
                <w:ilvl w:val="0"/>
                <w:numId w:val="0"/>
              </w:numPr>
              <w:spacing w:line="240" w:lineRule="exact"/>
              <w:ind w:left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目标1：不断改善区域环境质量，确保大气、水、土壤环境考核指标达到目标要求，全区不发生较大以上的环境污染事件和生态破坏事件；</w:t>
            </w:r>
          </w:p>
          <w:p w14:paraId="78EA78CF">
            <w:pPr>
              <w:widowControl/>
              <w:numPr>
                <w:ilvl w:val="0"/>
                <w:numId w:val="0"/>
              </w:numPr>
              <w:spacing w:line="240" w:lineRule="exact"/>
              <w:ind w:left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目标2：坚决打好污染防治攻坚战，持续做好大气、水、土污染防治工作；</w:t>
            </w:r>
          </w:p>
          <w:p w14:paraId="3F55F815">
            <w:pPr>
              <w:widowControl/>
              <w:numPr>
                <w:ilvl w:val="0"/>
                <w:numId w:val="0"/>
              </w:numPr>
              <w:spacing w:line="240" w:lineRule="exact"/>
              <w:ind w:left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目标3：全面做好中央、省级环境保护督查反馈问题整改工作；</w:t>
            </w:r>
          </w:p>
          <w:p w14:paraId="75915605">
            <w:pPr>
              <w:widowControl/>
              <w:numPr>
                <w:ilvl w:val="0"/>
                <w:numId w:val="0"/>
              </w:numPr>
              <w:spacing w:line="240" w:lineRule="exact"/>
              <w:ind w:left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目标4：持续推进生态环境风险隐患排查整治工作，着力解决突出环境问题；</w:t>
            </w:r>
          </w:p>
          <w:p w14:paraId="2A560604">
            <w:pPr>
              <w:widowControl/>
              <w:numPr>
                <w:ilvl w:val="0"/>
                <w:numId w:val="0"/>
              </w:numPr>
              <w:spacing w:line="240" w:lineRule="exact"/>
              <w:ind w:left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目标5：不断强化环境监管力度，严厉打击环境违法行为。　</w:t>
            </w:r>
          </w:p>
        </w:tc>
        <w:tc>
          <w:tcPr>
            <w:tcW w:w="43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DA1A8">
            <w:pPr>
              <w:widowControl/>
              <w:numPr>
                <w:ilvl w:val="0"/>
                <w:numId w:val="0"/>
              </w:num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空气质量优良率87%（同比下降0.1个百分点，排名五区第三），PM2.5平均浓度为34.8μg/m³（同比下降1.3μg/m³，排名五区第三）。3个国控、省控核心断面均达到市定考核目标。县级及乡镇饮用水源水质达标率100%。团湖、华洪运河、君山垸干渠等9处河湖水质达地表水Ⅲ类，悦来河、濠河等2处达Ⅳ类，较去年同期有明显提升。规模化畜禽养殖粪污综合利用率95%以上，受污染耕地安全利用率、重点建设用地安全利用率、医疗废物安全收集转运率等均达100%，未发生较大及以上环境污染事件和生态破坏现象。声环境质量夜间达标率88.01%，已达到市定考核目标。</w:t>
            </w:r>
          </w:p>
          <w:p w14:paraId="39428DFA">
            <w:pPr>
              <w:widowControl/>
              <w:numPr>
                <w:ilvl w:val="0"/>
                <w:numId w:val="0"/>
              </w:numPr>
              <w:spacing w:line="24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2.执法检查104次，发现问题122个，立行立改105个。共受理信访件38起（12345平台32起、12369平台6起），均第一时间调查核实并答复，已全部办结，群众满意率100%。</w:t>
            </w:r>
          </w:p>
        </w:tc>
      </w:tr>
      <w:tr w14:paraId="24A89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C16E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251BF1E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74F3F6B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10521AF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  <w:p w14:paraId="4F899EB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25FC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CD0B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F5F9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D617D"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年度指标值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AF34F">
            <w:pPr>
              <w:widowControl/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实际完成值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C0FB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82D9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A02EF"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47BEB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59C9F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BF1B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4A4AAA6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46A94CF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E9D9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6AC1BE9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0BE088B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3E04733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F21A3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办理生态环境类执法案件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42F9EF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10起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2A932">
            <w:pPr>
              <w:widowControl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12起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C7D8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5FE9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80B2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41F08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1E26B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DE595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6660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527B4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“夏季攻势”任务清单任务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3268A">
            <w:pPr>
              <w:widowControl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128项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DD3E7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128项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5307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2D62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929B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F36B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06F20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A467A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C821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8ECE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本区环保工作信访处理率、议案提案处理率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1A9C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5248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3600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D886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2782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2053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4E7D5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5932A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0ADE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1572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无较大污染事件发生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2060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争取0发生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862D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0发生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2200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33D8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9BFE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7233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64FE7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7F433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78F8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E592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按时完成各项指标任务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B7F3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2025-12-31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B036D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2025-12-31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22508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FB995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70B2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4D68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9C0DC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79618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CF75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BDDC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所有的支出控制在预算内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C2AAB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≤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796.73万元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6591C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786.47万元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37CF6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765F3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20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D172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B838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16983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857E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440435E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0C334CA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207E013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CB12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0CF3E76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3919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实现节能减排，减少环保治理经费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4A3C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经济效益较好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249B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经济效益较好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297D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B320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6E96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F487EBA">
        <w:trPr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F84D1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71D39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EDB9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457CB83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4C51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改善辖区环境质量及群众生产生活环境，达到环境质量控制目标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06C0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20"/>
                <w:szCs w:val="20"/>
                <w:lang w:eastAsia="zh-CN"/>
              </w:rPr>
              <w:t>有所改善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CA52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20"/>
                <w:szCs w:val="20"/>
                <w:lang w:eastAsia="zh-CN"/>
              </w:rPr>
              <w:t>有所改善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8F31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9841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476C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AC5D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FBCD7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B7327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1FBE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0B8C1C3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96AD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20"/>
                <w:szCs w:val="20"/>
                <w:lang w:eastAsia="zh-CN"/>
              </w:rPr>
              <w:t>促进环境质量认知度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3F42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20"/>
                <w:szCs w:val="20"/>
                <w:lang w:eastAsia="zh-CN"/>
              </w:rPr>
              <w:t>有所</w:t>
            </w:r>
            <w:r>
              <w:rPr>
                <w:rFonts w:hint="eastAsia" w:eastAsia="仿宋_GB2312"/>
                <w:kern w:val="0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EFB7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20"/>
                <w:szCs w:val="20"/>
                <w:lang w:eastAsia="zh-CN"/>
              </w:rPr>
              <w:t>有所</w:t>
            </w:r>
            <w:r>
              <w:rPr>
                <w:rFonts w:hint="eastAsia" w:eastAsia="仿宋_GB2312"/>
                <w:kern w:val="0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EF0A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AC50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2762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A3E9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A149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886E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577A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0EAE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本区的环境质量得到持续改善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4831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20"/>
                <w:szCs w:val="20"/>
                <w:lang w:eastAsia="zh-CN"/>
              </w:rPr>
              <w:t>有所改善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DC98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20"/>
                <w:szCs w:val="20"/>
                <w:lang w:eastAsia="zh-CN"/>
              </w:rPr>
              <w:t>有所改善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FDF7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EBAD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8686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17800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EAECC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491C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0E0CFC3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2AC65DA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E28E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4B97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群众满意率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A9A3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9442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5%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76E7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7421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352B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4D74D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FDBAE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5B33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9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48181">
            <w:pPr>
              <w:widowControl/>
              <w:spacing w:line="240" w:lineRule="exact"/>
              <w:jc w:val="left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99.87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2F3D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2F0C8421">
      <w:pPr>
        <w:widowControl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填报日期：         联系电话：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br w:type="page"/>
      </w: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3-1</w:t>
      </w:r>
    </w:p>
    <w:p w14:paraId="7A5A6AE8"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8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 w14:paraId="4E9CE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A9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4CBC7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C9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2024年中央大气污染防治资金（第二批）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A461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4D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57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岳阳市生态环境局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95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7A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岳阳市生态环境局君山分局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B227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38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</w:p>
          <w:p w14:paraId="0BC39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FC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DF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7E662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6F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0A1A8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7EA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7E0226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4B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0A6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BD1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4D74A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B3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C3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0C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9E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219.00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6D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219.00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D3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85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6C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0965B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6C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A8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5E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12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A8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EC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C8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5B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F7C5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00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7C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0F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20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B1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4D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DC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32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5D41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E9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07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CD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29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219.00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58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219.00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F9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E6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F7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8F76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D0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A3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80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3BBF2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43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BC0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空气质量优良率稳定达到90%以上，PM2.5年均浓度控制在35μg/m³以内；</w:t>
            </w:r>
          </w:p>
          <w:p w14:paraId="2507F8F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坚决落实省市相关文件精神，锚定PM2.5减排目标。</w:t>
            </w:r>
          </w:p>
          <w:p w14:paraId="20E6A7F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持续推进五大攻坚战役，着重开展扬尘污染防治标志性战役，进一步完善禁烧管控机制，严格落实“一站一策”管控要求，加快完成“马路市场”和“小区油烟”整治工作，加强餐饮门店油烟管控，落实烟花爆竹“双减一禁”，持续开展敏感区域的巡逻行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续推进重点行业VOCs综合治理，督促企业加强治污设施运行维护，确保稳定达标排放。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AE56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1.2025年空气质量优良率87%（同比下降0.1个百分点，排名五区第三），PM2.5平均浓度为34.8μg/m³（同比下降1.3μg/m³，排名五区第三），首次达到国家环境空气质量Ⅱ级标准。</w:t>
            </w:r>
          </w:p>
          <w:p w14:paraId="30FABC2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.积极推进全区移动源治理，超额完成淘汰国Ⅰ及以下非道路移动机械3台（市定任务2台），淘汰达强制报废期柴油货车15台、老旧农机具100台，安装重型柴油货车OBD远程监控终端44台、非道路移动机械电子标签38台，开展路检及入户尾气检测180台次，处罚超标车辆4台。强化工业源管控，超额完成9台落后锅炉报废注销，指导2家企业（大地印务、涵海砂浆）完成环保绩效提级，推进1个VOCs治理项目（天乐彩印）通过市级验收。成立禁烧工作专班，全面开展宣传工作，建立“联点包片+铁塔监测”机制，未出现因本地焚烧引发的重污染天气。严格贯彻全省烟花爆竹燃放管控专题会议精神，落实“双减一禁”政策，2025年零售门店削减超50%;积极推进站点周边马路市场规范整治，组织住建、城管、生态环境等部门全面开展扬尘治理专项行动，科学引导中心城区站点周边熏制腊制品行为。</w:t>
            </w:r>
          </w:p>
        </w:tc>
      </w:tr>
      <w:tr w14:paraId="249FB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20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64E0D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6E8AD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31A992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C1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04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D2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AB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72AA6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ED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61749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8B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6C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1D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38ACA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4B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3A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0F3AA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1EB6B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60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53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开展路检及入户尾气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CB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4C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C9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F2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EA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31D2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6E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78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CA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75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强化工业源管控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C0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BE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8D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94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D2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70C1E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8F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CB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07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01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秸秆禁烧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烟花爆竹燃放管控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6C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4A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FD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65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C8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7E999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571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7D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6A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6A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城区空气质量优良率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46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≥90%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03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87%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4C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A3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61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需着力解决内源污染隐患</w:t>
            </w:r>
          </w:p>
        </w:tc>
      </w:tr>
      <w:tr w14:paraId="3A01A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3DA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A97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2D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5C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按时完成各项指标任务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78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2025年12月31日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13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2025年12月31日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00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6C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D2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78A0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C8A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AE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FA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B9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支出控制在预算内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27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≤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219万元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00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219万元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95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70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66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265CC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AD7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B9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21E05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03F15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4AF6B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8C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3F4A5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68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促进经济发展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B3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经济平稳发展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EF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平稳发展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96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B0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D4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4C50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548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909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5C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5BC7C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59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改善居民生产、生活环境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D7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有所改善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76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有所改善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37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BA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3C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E7EF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C7B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009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4D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64C0B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32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城区空气质量优良率达标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FB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达标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39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达标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D2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55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66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76A5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94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26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0B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7C14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社会可持续发展良好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D8EA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效益明显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89B0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效益明显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DB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75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E3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A214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12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BD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7F59B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67A22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8D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0A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君山区全体人民群众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B7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C996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95%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3CC2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8130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BE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05E4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64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FF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18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64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4E712A94">
      <w:pP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</w:pPr>
    </w:p>
    <w:p w14:paraId="7E4547B7">
      <w:pPr>
        <w:rPr>
          <w:rFonts w:hint="default" w:ascii="Times New Roman" w:hAnsi="Times New Roman" w:eastAsia="仿宋_GB2312" w:cs="Times New Roman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2E5E069E">
      <w:pPr>
        <w:widowControl/>
        <w:spacing w:line="600" w:lineRule="exact"/>
        <w:jc w:val="left"/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联系电话：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</w:p>
    <w:p w14:paraId="02248DF5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br w:type="page"/>
      </w:r>
    </w:p>
    <w:p w14:paraId="31602BA0">
      <w:pPr>
        <w:widowControl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3-2</w:t>
      </w:r>
    </w:p>
    <w:p w14:paraId="05AA1F1B"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8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 w14:paraId="7B095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DE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053D2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21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环境监察监测等运行经费</w:t>
            </w:r>
          </w:p>
        </w:tc>
      </w:tr>
      <w:tr w14:paraId="420F0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D7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69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岳阳市生态环境局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25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8C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岳阳市生态环境局君山分局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6973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46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</w:p>
          <w:p w14:paraId="3A84B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AB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5E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06086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0F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17C09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9E5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5243E9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1EA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25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6CF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4BFD5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93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EC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0E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25.00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C6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25.00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A6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25.00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BD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B7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EA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1D585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10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4A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F7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25.00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19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25.00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80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25.00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72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0E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A4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1060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78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20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AF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AA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54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38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F6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54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0FB9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5F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EC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02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2C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09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C7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C4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AF1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EC2C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AB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3B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FE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2A1C4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2C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59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目标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日常环境监管、执法工作；</w:t>
            </w:r>
          </w:p>
          <w:p w14:paraId="28630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目标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委托第三方进行执法性监督监测；</w:t>
            </w:r>
          </w:p>
          <w:p w14:paraId="0B91E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目标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环保迎检、应急处置经费；</w:t>
            </w:r>
          </w:p>
          <w:p w14:paraId="01206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目标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4、节能环保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宣传费用。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F5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已完成</w:t>
            </w:r>
          </w:p>
        </w:tc>
      </w:tr>
      <w:tr w14:paraId="6A60E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6E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51D95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38304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20BA9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69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81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45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43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537A0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EB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1748B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18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52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0C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714C4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F9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E9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69637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66ADD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06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0C37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办理生态环境类执法案件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0C14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8829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12起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EB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09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5A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A1EB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6C0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13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54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90DF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本区环保工作信访处理率、议案提案处理率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ABA98">
            <w:pPr>
              <w:widowControl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5C724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0788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708C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B478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04B4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57D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4A8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7F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7A3F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各种整治符合环保标准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F201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完成主要污染物减排目标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065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完成主要污染物减排目标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10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CD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71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8141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B2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FB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14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BF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按时完成各项指标任务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64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2025年12月31日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09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2025年12月31日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B0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F4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1B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8B46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65A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4F4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57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34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支出控制在预算内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A8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≤25万元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DB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25万元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1E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1A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52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24DC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D9E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A8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006E3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0F03A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56450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3B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485F3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D3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实现节能减排，减少环保治理经费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21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经济平稳发展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54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平稳发展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B8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C0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4E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F3BD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0AB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FA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C7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205B9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FE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改善居民生产、生活环境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B5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有所改善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B1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有所提升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9D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54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0F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9C98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F9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593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DC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486CF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75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城区空气质量优良率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0F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≥90%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C6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87%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5C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1A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9E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需着力解决内源污染隐患</w:t>
            </w:r>
          </w:p>
        </w:tc>
      </w:tr>
      <w:tr w14:paraId="4F326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47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90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DE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D5F0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本区的环境质量得到持续改善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9E799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持续改善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3E66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持续改善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A7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61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7B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E47A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94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AB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10203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6EF64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B8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9F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君山区全体人民群众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39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BDBE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bookmarkStart w:id="1" w:name="_GoBack"/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95%</w:t>
            </w:r>
            <w:bookmarkEnd w:id="1"/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B866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26B8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59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2B1A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7A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FC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8F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F2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596BCCB1">
      <w:pP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</w:pPr>
    </w:p>
    <w:p w14:paraId="0CE4653A">
      <w:pPr>
        <w:rPr>
          <w:rFonts w:hint="default" w:ascii="Times New Roman" w:hAnsi="Times New Roman" w:eastAsia="仿宋_GB2312" w:cs="Times New Roman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4B8D10BD">
      <w:pP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联系电话：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br w:type="page"/>
      </w: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4</w:t>
      </w:r>
    </w:p>
    <w:p w14:paraId="5F3F2D30"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 w14:paraId="21B09F6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年度岳阳市生态环境局君山分局</w:t>
      </w:r>
    </w:p>
    <w:p w14:paraId="1598EBF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整体支出绩效自评报告</w:t>
      </w:r>
    </w:p>
    <w:p w14:paraId="0ECF897B"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  <w:highlight w:val="none"/>
        </w:rPr>
      </w:pPr>
    </w:p>
    <w:p w14:paraId="2FBA2C08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0495CDC8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2129493A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375C1649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4F44AD9D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666FC804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1B82DF05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6C5A7777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1A475DF1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45BD875D">
      <w:pPr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1E5D71B0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4008E73A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2A8A5DF8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5CE6902C"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部门（单位）名称：岳阳市生态环境局君山分局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（盖章）</w:t>
      </w:r>
    </w:p>
    <w:p w14:paraId="2668D240"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年  月  日</w:t>
      </w:r>
    </w:p>
    <w:p w14:paraId="1D16A3DC"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（此页为封面）</w:t>
      </w:r>
    </w:p>
    <w:p w14:paraId="5C2D0AB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年度岳阳市生态环境局君山分局</w:t>
      </w:r>
    </w:p>
    <w:p w14:paraId="4704325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整体支出绩效自评报告</w:t>
      </w:r>
    </w:p>
    <w:p w14:paraId="667C92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71376515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部门（单位）基本情况</w:t>
      </w:r>
    </w:p>
    <w:p w14:paraId="6E6F8E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（一）职能职责</w:t>
      </w:r>
    </w:p>
    <w:p w14:paraId="7CAEEC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1、受市生态环境局委托，承担辖区内的生态环境相关工作；承担市生态环境局和区管委会交办的其他任务。</w:t>
      </w:r>
    </w:p>
    <w:p w14:paraId="5D7D57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2、负责本辖区内重点污染源在线监控系统现场监督管理；负责受理和办理生态环境保护举报（信访），负责生态环境信访维稳事件的现场调查处置工作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负责本辖区生态环境质量监测、执法监测、污染源监测和应急监测；负责辖区内生态文明示范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创建。</w:t>
      </w:r>
    </w:p>
    <w:p w14:paraId="30761D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（二）机构设置</w:t>
      </w:r>
    </w:p>
    <w:p w14:paraId="51D08F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君山</w:t>
      </w:r>
      <w:r>
        <w:rPr>
          <w:rFonts w:hint="eastAsia" w:ascii="仿宋_GB2312" w:hAnsi="仿宋_GB2312" w:eastAsia="仿宋_GB2312" w:cs="仿宋_GB2312"/>
          <w:sz w:val="32"/>
          <w:szCs w:val="32"/>
        </w:rPr>
        <w:t>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态</w:t>
      </w:r>
      <w:r>
        <w:rPr>
          <w:rFonts w:hint="eastAsia" w:ascii="仿宋_GB2312" w:hAnsi="仿宋_GB2312" w:eastAsia="仿宋_GB2312" w:cs="仿宋_GB2312"/>
          <w:sz w:val="32"/>
          <w:szCs w:val="32"/>
        </w:rPr>
        <w:t>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境</w:t>
      </w:r>
      <w:r>
        <w:rPr>
          <w:rFonts w:hint="eastAsia" w:ascii="仿宋_GB2312" w:hAnsi="仿宋_GB2312" w:eastAsia="仿宋_GB2312" w:cs="仿宋_GB2312"/>
          <w:sz w:val="32"/>
          <w:szCs w:val="32"/>
        </w:rPr>
        <w:t>分局属岳阳市生态环境局二级机构。根据分局的整体情况，分局下设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个股室（办公室、监察大队、管理股、法制股）。分局目前在编人员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退休人数4人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 w14:paraId="39D762CA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二、一般公共预算支出情况</w:t>
      </w:r>
    </w:p>
    <w:p w14:paraId="19B1200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（一）基本支出情况</w:t>
      </w:r>
    </w:p>
    <w:p w14:paraId="3FA3B14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我分局202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基本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支出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222.12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万元，其中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人员经费165.72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公用经费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56.40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万元。</w:t>
      </w:r>
    </w:p>
    <w:p w14:paraId="462F3BB2">
      <w:pPr>
        <w:pStyle w:val="7"/>
        <w:widowControl/>
        <w:wordWrap w:val="0"/>
        <w:snapToGrid w:val="0"/>
        <w:spacing w:before="150" w:after="150" w:line="620" w:lineRule="exact"/>
        <w:ind w:firstLine="640" w:firstLineChars="200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年我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分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局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三公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经费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合计2.38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其中：</w:t>
      </w:r>
      <w:r>
        <w:rPr>
          <w:rFonts w:hint="eastAsia" w:ascii="仿宋_GB2312" w:hAnsi="仿宋_GB2312" w:eastAsia="仿宋_GB2312" w:cs="仿宋_GB2312"/>
          <w:sz w:val="32"/>
          <w:szCs w:val="32"/>
        </w:rPr>
        <w:t>公务用车运行维护费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2.38万元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公务用车购置费0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.00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万元；因公出国费0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.00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万元；公务接待费0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.00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万元。</w:t>
      </w:r>
    </w:p>
    <w:p w14:paraId="4A9C2986">
      <w:pPr>
        <w:pStyle w:val="11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项目支出情况</w:t>
      </w:r>
    </w:p>
    <w:p w14:paraId="2C8D2C9A">
      <w:pPr>
        <w:widowControl/>
        <w:spacing w:line="600" w:lineRule="exact"/>
        <w:ind w:firstLine="640" w:firstLineChars="200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2025年项目支出年初预算数为25.00万元，决算实际支出数为564.35万元。主要用于办案费、环境监察监测等运行经费、2024年中央大气污染防治资金（第二批）、东洞庭湖滨带君山工濠河水环境综合治理项目、2025年秸秆焚烧管控专项资金等方面。项目支出超出部分主要为年中申请项目及上年结转项目，拨付资金部分来自区财政。</w:t>
      </w:r>
    </w:p>
    <w:p w14:paraId="4FE01E25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三、政府性基金预算支出情况</w:t>
      </w:r>
    </w:p>
    <w:p w14:paraId="14E49D86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年本单位没有使用政府性基金预算安排的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7035B38">
      <w:pPr>
        <w:pStyle w:val="11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国有资本经营预算支出情况</w:t>
      </w:r>
    </w:p>
    <w:p w14:paraId="20BA5584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年本单位没有使用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国有资本经营预算</w:t>
      </w:r>
      <w:r>
        <w:rPr>
          <w:rFonts w:hint="eastAsia" w:ascii="仿宋_GB2312" w:hAnsi="仿宋_GB2312" w:eastAsia="仿宋_GB2312" w:cs="仿宋_GB2312"/>
          <w:sz w:val="32"/>
          <w:szCs w:val="32"/>
        </w:rPr>
        <w:t>安排的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EF8A7E5">
      <w:pPr>
        <w:pStyle w:val="11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社会保险基金预算支出情况</w:t>
      </w:r>
    </w:p>
    <w:p w14:paraId="585E2A84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年本单位没有使用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社会保险基金预算</w:t>
      </w:r>
      <w:r>
        <w:rPr>
          <w:rFonts w:hint="eastAsia" w:ascii="仿宋_GB2312" w:hAnsi="仿宋_GB2312" w:eastAsia="仿宋_GB2312" w:cs="仿宋_GB2312"/>
          <w:sz w:val="32"/>
          <w:szCs w:val="32"/>
        </w:rPr>
        <w:t>安排的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228A5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六、部门整体支出绩效情况</w:t>
      </w:r>
    </w:p>
    <w:p w14:paraId="2CC3296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（一）部门资金情况分析</w:t>
      </w:r>
    </w:p>
    <w:p w14:paraId="4D8FB6A0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我局202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年预算资金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年初数为195.55万元，调整后全年预算数为796.73万元，决算实际支出数为786.47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万元，专项经费实行专款专用，严格按照相关规定支付，资金支付合规合法，资金使用率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98.71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%。</w:t>
      </w:r>
    </w:p>
    <w:p w14:paraId="2149D800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（二）项目绩效指标完成情况分析</w:t>
      </w:r>
    </w:p>
    <w:p w14:paraId="3E191139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1.履职效能情况分析</w:t>
      </w:r>
    </w:p>
    <w:p w14:paraId="38F954F9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2025年，在市局党组及君山区委、区政府的坚强领导下，君山分局始终锚定持续改善生态环境质量核心目标，攻坚克难、务实笃行，各项工作取得了较好成绩。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大气环境状况：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君山区空气质量优良率87%（同比下降0.1个百分点，排名五区第三）；</w:t>
      </w:r>
      <w:bookmarkStart w:id="0" w:name="OLE_LINK3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PM2.5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平均浓度为34.8μg/m³（同比下降1.3μg/m³，排名五区第三），“十四五”期间我区空气质量呈逐渐改善趋势，2025年PM2.5首次达到《环境空气质量标准》二级标准。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水环境状况：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个国控、省控核心断面均达到市定考核目标。君山段长江取水口省控断面水质连续8年稳定保持Ⅱ类；东洞庭湖国控断面总磷年均浓度0.06mg/L，其他指标均达Ⅲ类；六门闸国控断面平均水质为Ⅲ类，总磷浓度0.064mg/L。此外，县级及乡镇饮用水源水质达标率100%。2025年监测结果显示，团湖、华洪运河、君山垸干渠等9处河湖水质达地表水Ⅲ类，悦来河、濠河等2处达Ⅳ类，较去年同期有明显提升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土壤环境状况：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规模化畜禽养殖粪污综合利用率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95%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以上，受污染耕地安全利用率、重点建设用地安全利用率、医疗废物安全收集转运率等均达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100%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声环境状况：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年，湖南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省首次将夜间声环境达标率纳入污染防治攻坚战考核，截至去年底，声环境质量夜间达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标率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88.01%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已达到市定考核目标。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环境安全状况：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全年未发生较大及以上环境污染事件和生态破坏事件。</w:t>
      </w:r>
    </w:p>
    <w:p w14:paraId="495A0372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2.管理效率情况分析</w:t>
      </w:r>
    </w:p>
    <w:p w14:paraId="330B992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预算编制完整，专项资金细化率、预算执行率达到标准，预算调整率偏高，主要原因是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节能环保支出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。收入支出管理规范，内控制度有效，资产管理规范，部门固定资产利用率符合目标，信息化建设和管理制度建设有效。</w:t>
      </w:r>
    </w:p>
    <w:p w14:paraId="2412ADA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3.运行成本控制情况分析</w:t>
      </w:r>
    </w:p>
    <w:p w14:paraId="5048BFF9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“三公经费”、公用经费均控制在预算范围内，项目支出有所超出预算，原因在于本年度县区财政项目经费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较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多。</w:t>
      </w:r>
    </w:p>
    <w:p w14:paraId="7D7C75F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4.服务满意度指标完成情况分析</w:t>
      </w:r>
    </w:p>
    <w:p w14:paraId="4FF6708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全面实行重大环境信访案件集体研究，着力解决群众关注重点问题，处理信访投诉38起，均已全部办结，及时答复率100%。</w:t>
      </w:r>
    </w:p>
    <w:p w14:paraId="12C533D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5.可持续性影响情况分析</w:t>
      </w:r>
    </w:p>
    <w:p w14:paraId="37E3CFFD"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区委、区政府高度重视环保领域工作，始终坚持把生态文明建设和生态环境保护摆在重要位置，坚定不移走生态优先、绿色发展之路。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多措并举，改善生态环境“基本面”。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一是精准治理蓝天。全面推进大气污染治理工作，细化大气管控措施，实现全过程监督，压实企业主体责任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狠抓涉气企业污染违法行为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积极做好重污染天气预警响应，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持续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深化联合执法行动，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多部门协同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开展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秸秆焚烧、油烟治理、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工地扬尘、机动车尾气污染等专项整治行动，形成大气环境严管严控的高压态势。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二是精细治理碧水。深入推进水资源环境治理工作，持续开展“碧水攻坚”“洞庭清波”“清河净滩”等行动，全面落实河（湖）长制，持续推进洞庭湖总磷削减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工作，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完成285个入河排污口排查、监测与溯源，17个问题排口均已完成整治销号。推进6项洞庭湖总磷削减项目，均已销号。完成东洞庭湖滨带君山区濠河水环境综合治理项目市级初验；岳阳市君山区第一、第二污水处理厂尾水人工湿地水质净化工程项目正在开展区级自验；君山区东洞庭湖流域水环境治理与生态修复工程正在推进中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三是精心治理净土。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完成7处“一住两公”（住宅、公共管理与公共服务用地）地块土壤污染状况调查，均满足环境要求。未发生较大及以上环境污染事件和生态破坏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现象。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四是积极开展争资争项。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成功争取中央资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金5589万元，其中大气污染防治项目589万元、东洞庭湖流域水环境治理项目5000万元。</w:t>
      </w:r>
    </w:p>
    <w:p w14:paraId="0A84BF60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七、存在的问题及原因分析</w:t>
      </w:r>
    </w:p>
    <w:p w14:paraId="5CDF5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存在</w:t>
      </w: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问题，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空气优良率有待提升，未达年初目标。</w:t>
      </w:r>
      <w:r>
        <w:rPr>
          <w:rFonts w:hint="default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问题产生的主要原因</w:t>
      </w: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，环境监管需加强</w:t>
      </w:r>
      <w:r>
        <w:rPr>
          <w:rFonts w:hint="default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。</w:t>
      </w:r>
    </w:p>
    <w:p w14:paraId="2879CD50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下一步改进措施</w:t>
      </w:r>
    </w:p>
    <w:p w14:paraId="08F20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严格落实秸秆焚烧管控措施，持续推进企业VOCs深度治理，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</w:rPr>
        <w:t>加强对各类物料堆场的封闭覆盖和喷淋降尘措施以及道路扬尘管控，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坚决打好大气污染防治五个标志性战役，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做到</w:t>
      </w: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空气质量优良率稳定达到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90.7%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以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上。</w:t>
      </w:r>
    </w:p>
    <w:p w14:paraId="27EAC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加强财务管理，严格财务审批。加强培训</w:t>
      </w: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,</w:t>
      </w:r>
      <w:r>
        <w:rPr>
          <w:rFonts w:hint="default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组织非财务部门的人员参与评价工作，切实推进绩效评价工作的开展。</w:t>
      </w:r>
    </w:p>
    <w:p w14:paraId="042B5DC7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部门整体支出绩效自评结果拟应用和公开情况</w:t>
      </w:r>
    </w:p>
    <w:p w14:paraId="14E6E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left"/>
        <w:textAlignment w:val="auto"/>
        <w:rPr>
          <w:rFonts w:hint="default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本单位高度重视预算支出绩效自评工作，积极落实主体责任，成立预算绩效管理领导小组，加强组织领导，按照绩效管理工作方案和绩效评价相关制度规定，认真开展自评，确保绩效自评工作顺利实施，并按照要求进行信息公开，对存在的问题积极整改。</w:t>
      </w:r>
    </w:p>
    <w:p w14:paraId="317036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十、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其他需要说明的情况</w:t>
      </w:r>
    </w:p>
    <w:p w14:paraId="572DCB73">
      <w:pPr>
        <w:pStyle w:val="2"/>
        <w:ind w:firstLine="640" w:firstLineChars="200"/>
        <w:rPr>
          <w:rFonts w:hint="eastAsia" w:ascii="仿宋_GB2312" w:hAnsi="仿宋_GB2312" w:eastAsia="仿宋_GB2312" w:cs="仿宋_GB2312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  <w:t>无</w:t>
      </w:r>
    </w:p>
    <w:p w14:paraId="254CBF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报告需要以下附件：</w:t>
      </w:r>
    </w:p>
    <w:p w14:paraId="68C097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部门整体支出绩效评价基础数据表</w:t>
      </w:r>
    </w:p>
    <w:p w14:paraId="4857B7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部门整体支出绩效自评表</w:t>
      </w:r>
    </w:p>
    <w:p w14:paraId="63BAD7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项目支出绩效自评表</w:t>
      </w:r>
    </w:p>
    <w:sectPr>
      <w:pgSz w:w="11906" w:h="16838"/>
      <w:pgMar w:top="873" w:right="1406" w:bottom="59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961419"/>
    <w:multiLevelType w:val="singleLevel"/>
    <w:tmpl w:val="D696141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B9CB6EC"/>
    <w:multiLevelType w:val="singleLevel"/>
    <w:tmpl w:val="0B9CB6E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8C5804B"/>
    <w:multiLevelType w:val="singleLevel"/>
    <w:tmpl w:val="28C5804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C541453"/>
    <w:multiLevelType w:val="singleLevel"/>
    <w:tmpl w:val="7C54145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hM2RiODNhYzYwODk5ZTg2MTVmODIyMGIzNjA1OGYifQ=="/>
  </w:docVars>
  <w:rsids>
    <w:rsidRoot w:val="59886344"/>
    <w:rsid w:val="02B3536B"/>
    <w:rsid w:val="03906A9D"/>
    <w:rsid w:val="04AF5B15"/>
    <w:rsid w:val="05BC4D2C"/>
    <w:rsid w:val="062E1DC0"/>
    <w:rsid w:val="085207C5"/>
    <w:rsid w:val="0A5922DF"/>
    <w:rsid w:val="0B575DFD"/>
    <w:rsid w:val="0C095F8A"/>
    <w:rsid w:val="0C177D5B"/>
    <w:rsid w:val="0C9F5F62"/>
    <w:rsid w:val="0D8F7523"/>
    <w:rsid w:val="0F893296"/>
    <w:rsid w:val="0FB93992"/>
    <w:rsid w:val="10274C2E"/>
    <w:rsid w:val="107F04D7"/>
    <w:rsid w:val="12083B55"/>
    <w:rsid w:val="14092680"/>
    <w:rsid w:val="157F52EF"/>
    <w:rsid w:val="15E24DAB"/>
    <w:rsid w:val="15F31839"/>
    <w:rsid w:val="175D340E"/>
    <w:rsid w:val="176C7BC4"/>
    <w:rsid w:val="17B635A4"/>
    <w:rsid w:val="1CBC3BF4"/>
    <w:rsid w:val="1DFA1269"/>
    <w:rsid w:val="1F06438B"/>
    <w:rsid w:val="1F413203"/>
    <w:rsid w:val="242C3BC7"/>
    <w:rsid w:val="256B2DF1"/>
    <w:rsid w:val="25DD6BD2"/>
    <w:rsid w:val="27BB437C"/>
    <w:rsid w:val="28ED26BA"/>
    <w:rsid w:val="28F05023"/>
    <w:rsid w:val="2937299B"/>
    <w:rsid w:val="2E900890"/>
    <w:rsid w:val="2ECB4CA9"/>
    <w:rsid w:val="30B5176D"/>
    <w:rsid w:val="320F75A3"/>
    <w:rsid w:val="32E15811"/>
    <w:rsid w:val="330D7CD9"/>
    <w:rsid w:val="34750EE4"/>
    <w:rsid w:val="34D716E8"/>
    <w:rsid w:val="35521C81"/>
    <w:rsid w:val="3671332B"/>
    <w:rsid w:val="36CD315B"/>
    <w:rsid w:val="374359F5"/>
    <w:rsid w:val="381866B2"/>
    <w:rsid w:val="38FA68B7"/>
    <w:rsid w:val="396D6ECE"/>
    <w:rsid w:val="3A3D1E2F"/>
    <w:rsid w:val="3AF83CC4"/>
    <w:rsid w:val="3B983D25"/>
    <w:rsid w:val="3BA10975"/>
    <w:rsid w:val="3CCE312F"/>
    <w:rsid w:val="3DEF7E5F"/>
    <w:rsid w:val="3E466385"/>
    <w:rsid w:val="3E962DA7"/>
    <w:rsid w:val="40E340D5"/>
    <w:rsid w:val="41FE7878"/>
    <w:rsid w:val="422F4422"/>
    <w:rsid w:val="433E1A96"/>
    <w:rsid w:val="44D212C3"/>
    <w:rsid w:val="465B01B9"/>
    <w:rsid w:val="49C017D1"/>
    <w:rsid w:val="49DB676B"/>
    <w:rsid w:val="4A8808ED"/>
    <w:rsid w:val="4D5657A6"/>
    <w:rsid w:val="4DC4528E"/>
    <w:rsid w:val="4F5A491C"/>
    <w:rsid w:val="4FF74449"/>
    <w:rsid w:val="50992BDB"/>
    <w:rsid w:val="50D7196A"/>
    <w:rsid w:val="50E13A61"/>
    <w:rsid w:val="51441FB7"/>
    <w:rsid w:val="51805883"/>
    <w:rsid w:val="51855EDD"/>
    <w:rsid w:val="534D72F9"/>
    <w:rsid w:val="539150F3"/>
    <w:rsid w:val="540D56D8"/>
    <w:rsid w:val="542C5C61"/>
    <w:rsid w:val="55164621"/>
    <w:rsid w:val="55715C3B"/>
    <w:rsid w:val="55A26C31"/>
    <w:rsid w:val="571526B6"/>
    <w:rsid w:val="585711D8"/>
    <w:rsid w:val="586D5502"/>
    <w:rsid w:val="5886386C"/>
    <w:rsid w:val="58FB08CF"/>
    <w:rsid w:val="59440717"/>
    <w:rsid w:val="59886344"/>
    <w:rsid w:val="5B9938B6"/>
    <w:rsid w:val="5BF60D08"/>
    <w:rsid w:val="5C1C66BA"/>
    <w:rsid w:val="5ECC76D2"/>
    <w:rsid w:val="5FBE7D8F"/>
    <w:rsid w:val="60B91957"/>
    <w:rsid w:val="61F21F72"/>
    <w:rsid w:val="62261C1B"/>
    <w:rsid w:val="63807109"/>
    <w:rsid w:val="640A65E4"/>
    <w:rsid w:val="642706E2"/>
    <w:rsid w:val="65735178"/>
    <w:rsid w:val="67346B89"/>
    <w:rsid w:val="67EE3325"/>
    <w:rsid w:val="692549DB"/>
    <w:rsid w:val="69550282"/>
    <w:rsid w:val="6A164382"/>
    <w:rsid w:val="6ADE12E5"/>
    <w:rsid w:val="6C16503D"/>
    <w:rsid w:val="6D062D75"/>
    <w:rsid w:val="6FFF6D03"/>
    <w:rsid w:val="70826EAE"/>
    <w:rsid w:val="71DD22F7"/>
    <w:rsid w:val="72795E7F"/>
    <w:rsid w:val="7420296E"/>
    <w:rsid w:val="74980757"/>
    <w:rsid w:val="75D507CD"/>
    <w:rsid w:val="768A032C"/>
    <w:rsid w:val="77505319"/>
    <w:rsid w:val="78452B7C"/>
    <w:rsid w:val="787B63C5"/>
    <w:rsid w:val="7BA7012C"/>
    <w:rsid w:val="7C0D37D8"/>
    <w:rsid w:val="7EF82E56"/>
    <w:rsid w:val="7F736048"/>
    <w:rsid w:val="DFEF8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宋体" w:cs="Times New Roman"/>
      <w:kern w:val="0"/>
      <w:sz w:val="28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toc 5"/>
    <w:basedOn w:val="1"/>
    <w:next w:val="1"/>
    <w:autoRedefine/>
    <w:qFormat/>
    <w:uiPriority w:val="0"/>
    <w:pPr>
      <w:ind w:left="1680" w:leftChars="80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仿宋" w:hAnsi="仿宋" w:eastAsia="宋体" w:cs="Times New Roman"/>
      <w:kern w:val="0"/>
      <w:sz w:val="18"/>
      <w:szCs w:val="24"/>
      <w:lang w:val="en-US" w:eastAsia="zh-CN" w:bidi="ar-SA"/>
    </w:rPr>
  </w:style>
  <w:style w:type="paragraph" w:styleId="6">
    <w:name w:val="header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仿宋" w:hAnsi="仿宋" w:eastAsia="宋体" w:cs="Times New Roman"/>
      <w:kern w:val="0"/>
      <w:sz w:val="18"/>
      <w:szCs w:val="24"/>
      <w:lang w:val="en-US" w:eastAsia="zh-CN" w:bidi="ar-SA"/>
    </w:rPr>
  </w:style>
  <w:style w:type="paragraph" w:styleId="7">
    <w:name w:val="Normal (Web)"/>
    <w:autoRedefine/>
    <w:qFormat/>
    <w:uiPriority w:val="99"/>
    <w:pPr>
      <w:widowControl w:val="0"/>
      <w:spacing w:line="432" w:lineRule="auto"/>
      <w:jc w:val="left"/>
    </w:pPr>
    <w:rPr>
      <w:rFonts w:ascii="仿宋" w:hAnsi="仿宋" w:eastAsia="宋体" w:cs="Times New Roman"/>
      <w:kern w:val="0"/>
      <w:sz w:val="24"/>
      <w:szCs w:val="24"/>
      <w:lang w:val="en-US" w:eastAsia="zh-CN" w:bidi="ar-SA"/>
    </w:rPr>
  </w:style>
  <w:style w:type="paragraph" w:customStyle="1" w:styleId="10">
    <w:name w:val="列出段落1"/>
    <w:basedOn w:val="1"/>
    <w:autoRedefine/>
    <w:qFormat/>
    <w:uiPriority w:val="34"/>
    <w:pPr>
      <w:ind w:firstLine="420" w:firstLineChars="200"/>
    </w:p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701</Words>
  <Characters>937</Characters>
  <Lines>0</Lines>
  <Paragraphs>0</Paragraphs>
  <TotalTime>44</TotalTime>
  <ScaleCrop>false</ScaleCrop>
  <LinksUpToDate>false</LinksUpToDate>
  <CharactersWithSpaces>1023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2024-03-18T08:36:00Z</dcterms:created>
  <dc:creator>Administrator</dc:creator>
  <cp:lastModifiedBy>李晨</cp:lastModifiedBy>
  <dcterms:modified xsi:type="dcterms:W3CDTF">2026-05-20T10:03:24Z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F7E88440828F4F2FB64E12D52CFDEBF1_13</vt:lpwstr>
  </property>
  <property fmtid="{D5CDD505-2E9C-101B-9397-08002B2CF9AE}" pid="4" name="KSOTemplateDocerSaveRecord">
    <vt:lpwstr>eyJoZGlkIjoiYTI1ZWRhODIzZjNkMzE5ODI3Y2UwZTM2NjQ3YjE4YjIiLCJ1c2VySWQiOiIyNDA2NTM0MjMifQ==</vt:lpwstr>
  </property>
</Properties>
</file>