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C54568">
      <w:pPr>
        <w:widowControl w:val="0"/>
        <w:kinsoku/>
        <w:autoSpaceDE/>
        <w:autoSpaceDN/>
        <w:adjustRightInd/>
        <w:snapToGrid/>
        <w:spacing w:after="0" w:afterLines="0" w:line="500" w:lineRule="exact"/>
        <w:ind w:firstLine="320" w:firstLineChars="100"/>
        <w:jc w:val="left"/>
        <w:textAlignment w:val="auto"/>
        <w:rPr>
          <w:rFonts w:hint="eastAsia" w:ascii="黑体" w:hAnsi="黑体" w:eastAsia="黑体" w:cs="黑体"/>
          <w:snapToGrid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napToGrid/>
          <w:kern w:val="2"/>
          <w:sz w:val="32"/>
          <w:szCs w:val="32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snapToGrid/>
          <w:kern w:val="2"/>
          <w:sz w:val="32"/>
          <w:szCs w:val="32"/>
          <w:highlight w:val="none"/>
          <w:lang w:val="en-US" w:eastAsia="zh-CN"/>
        </w:rPr>
        <w:t>1</w:t>
      </w:r>
    </w:p>
    <w:p w14:paraId="368BEEE1">
      <w:pPr>
        <w:widowControl w:val="0"/>
        <w:kinsoku/>
        <w:autoSpaceDE/>
        <w:autoSpaceDN/>
        <w:adjustRightInd/>
        <w:snapToGrid/>
        <w:spacing w:after="120" w:afterLines="5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napToGrid/>
          <w:kern w:val="2"/>
          <w:sz w:val="24"/>
          <w:szCs w:val="24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napToGrid/>
          <w:kern w:val="2"/>
          <w:sz w:val="36"/>
          <w:szCs w:val="36"/>
          <w:highlight w:val="none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snapToGrid/>
          <w:kern w:val="2"/>
          <w:sz w:val="36"/>
          <w:szCs w:val="36"/>
          <w:highlight w:val="none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napToGrid/>
          <w:kern w:val="2"/>
          <w:sz w:val="36"/>
          <w:szCs w:val="36"/>
          <w:highlight w:val="none"/>
          <w:lang w:eastAsia="zh-CN"/>
        </w:rPr>
        <w:t>年度部门整体支出绩效评价基础数据表</w:t>
      </w:r>
    </w:p>
    <w:tbl>
      <w:tblPr>
        <w:tblStyle w:val="3"/>
        <w:tblW w:w="972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3"/>
        <w:gridCol w:w="731"/>
        <w:gridCol w:w="811"/>
        <w:gridCol w:w="873"/>
        <w:gridCol w:w="910"/>
        <w:gridCol w:w="421"/>
        <w:gridCol w:w="598"/>
        <w:gridCol w:w="1022"/>
      </w:tblGrid>
      <w:tr w14:paraId="323188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436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9725B7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  <w:t>财政供养人员情况（人）</w:t>
            </w:r>
          </w:p>
        </w:tc>
        <w:tc>
          <w:tcPr>
            <w:tcW w:w="15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9A9657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napToGrid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/>
                <w:kern w:val="2"/>
                <w:sz w:val="20"/>
                <w:szCs w:val="20"/>
                <w:highlight w:val="none"/>
                <w:lang w:eastAsia="zh-CN"/>
              </w:rPr>
              <w:t>编制数</w:t>
            </w:r>
          </w:p>
        </w:tc>
        <w:tc>
          <w:tcPr>
            <w:tcW w:w="220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3C2E8A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napToGrid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/>
                <w:kern w:val="2"/>
                <w:sz w:val="20"/>
                <w:szCs w:val="20"/>
                <w:highlight w:val="none"/>
                <w:lang w:eastAsia="zh-CN"/>
              </w:rPr>
              <w:t>202</w:t>
            </w:r>
            <w:r>
              <w:rPr>
                <w:rFonts w:hint="eastAsia" w:ascii="仿宋_GB2312" w:hAnsi="仿宋_GB2312" w:eastAsia="仿宋_GB2312" w:cs="仿宋_GB2312"/>
                <w:b/>
                <w:bCs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b/>
                <w:bCs/>
                <w:snapToGrid/>
                <w:kern w:val="2"/>
                <w:sz w:val="20"/>
                <w:szCs w:val="20"/>
                <w:highlight w:val="none"/>
                <w:lang w:eastAsia="zh-CN"/>
              </w:rPr>
              <w:t>年实际在职人数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F62923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napToGrid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/>
                <w:kern w:val="2"/>
                <w:sz w:val="20"/>
                <w:szCs w:val="20"/>
                <w:highlight w:val="none"/>
                <w:lang w:eastAsia="zh-CN"/>
              </w:rPr>
              <w:t>控制率</w:t>
            </w:r>
          </w:p>
        </w:tc>
      </w:tr>
      <w:tr w14:paraId="3EAD28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43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9E415B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5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536956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  <w:t>72</w:t>
            </w:r>
          </w:p>
        </w:tc>
        <w:tc>
          <w:tcPr>
            <w:tcW w:w="220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872EBC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  <w:t>72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C6D24B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  <w:t>100.00%</w:t>
            </w: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  <w:t>　</w:t>
            </w:r>
          </w:p>
        </w:tc>
      </w:tr>
      <w:tr w14:paraId="0ACE69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3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A25BA6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  <w:t>经费控制情况（万元）</w:t>
            </w:r>
          </w:p>
        </w:tc>
        <w:tc>
          <w:tcPr>
            <w:tcW w:w="15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6835342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napToGrid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/>
                <w:kern w:val="2"/>
                <w:sz w:val="20"/>
                <w:szCs w:val="20"/>
                <w:highlight w:val="none"/>
                <w:lang w:eastAsia="zh-CN"/>
              </w:rPr>
              <w:t>202</w:t>
            </w:r>
            <w:r>
              <w:rPr>
                <w:rFonts w:hint="eastAsia" w:ascii="仿宋_GB2312" w:hAnsi="仿宋_GB2312" w:eastAsia="仿宋_GB2312" w:cs="仿宋_GB2312"/>
                <w:b/>
                <w:bCs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b/>
                <w:bCs/>
                <w:snapToGrid/>
                <w:kern w:val="2"/>
                <w:sz w:val="20"/>
                <w:szCs w:val="20"/>
                <w:highlight w:val="none"/>
                <w:lang w:eastAsia="zh-CN"/>
              </w:rPr>
              <w:t>年决算数</w:t>
            </w:r>
          </w:p>
        </w:tc>
        <w:tc>
          <w:tcPr>
            <w:tcW w:w="220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E436A4E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napToGrid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/>
                <w:kern w:val="2"/>
                <w:sz w:val="20"/>
                <w:szCs w:val="20"/>
                <w:highlight w:val="none"/>
                <w:lang w:eastAsia="zh-CN"/>
              </w:rPr>
              <w:t>202</w:t>
            </w:r>
            <w:r>
              <w:rPr>
                <w:rFonts w:hint="eastAsia" w:ascii="仿宋_GB2312" w:hAnsi="仿宋_GB2312" w:eastAsia="仿宋_GB2312" w:cs="仿宋_GB2312"/>
                <w:b/>
                <w:bCs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b/>
                <w:bCs/>
                <w:snapToGrid/>
                <w:kern w:val="2"/>
                <w:sz w:val="20"/>
                <w:szCs w:val="20"/>
                <w:highlight w:val="none"/>
                <w:lang w:eastAsia="zh-CN"/>
              </w:rPr>
              <w:t>年预算数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FB06140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napToGrid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/>
                <w:kern w:val="2"/>
                <w:sz w:val="20"/>
                <w:szCs w:val="20"/>
                <w:highlight w:val="none"/>
                <w:lang w:eastAsia="zh-CN"/>
              </w:rPr>
              <w:t>202</w:t>
            </w:r>
            <w:r>
              <w:rPr>
                <w:rFonts w:hint="eastAsia" w:ascii="仿宋_GB2312" w:hAnsi="仿宋_GB2312" w:eastAsia="仿宋_GB2312" w:cs="仿宋_GB2312"/>
                <w:b/>
                <w:bCs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b/>
                <w:bCs/>
                <w:snapToGrid/>
                <w:kern w:val="2"/>
                <w:sz w:val="20"/>
                <w:szCs w:val="20"/>
                <w:highlight w:val="none"/>
                <w:lang w:eastAsia="zh-CN"/>
              </w:rPr>
              <w:t>年决算数</w:t>
            </w:r>
          </w:p>
        </w:tc>
      </w:tr>
      <w:tr w14:paraId="12A618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3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83392C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  <w:t>三公经费</w:t>
            </w:r>
          </w:p>
        </w:tc>
        <w:tc>
          <w:tcPr>
            <w:tcW w:w="15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A46536D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  <w:t>1.48</w:t>
            </w:r>
          </w:p>
        </w:tc>
        <w:tc>
          <w:tcPr>
            <w:tcW w:w="220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77AB635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  <w:t>3.8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303D42F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  <w:t>0.24</w:t>
            </w:r>
          </w:p>
        </w:tc>
      </w:tr>
      <w:tr w14:paraId="04192F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43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719FD5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  <w:t xml:space="preserve">   1、公务用车购置和维护经费</w:t>
            </w:r>
          </w:p>
        </w:tc>
        <w:tc>
          <w:tcPr>
            <w:tcW w:w="15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C4ADE2F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20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DBD3EE4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B69803F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 w14:paraId="2DC3F2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3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2CA1DC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  <w:t xml:space="preserve">      其中：公车购置</w:t>
            </w:r>
          </w:p>
        </w:tc>
        <w:tc>
          <w:tcPr>
            <w:tcW w:w="15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D160C1F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  <w:t>　</w:t>
            </w:r>
          </w:p>
        </w:tc>
        <w:tc>
          <w:tcPr>
            <w:tcW w:w="220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7D7ED4A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8AE48BE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</w:pPr>
          </w:p>
        </w:tc>
      </w:tr>
      <w:tr w14:paraId="0D30DF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3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1D1F9C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  <w:t xml:space="preserve">            公车运行维护</w:t>
            </w:r>
          </w:p>
        </w:tc>
        <w:tc>
          <w:tcPr>
            <w:tcW w:w="15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7E1EF41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20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0D15368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103CAC8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 w14:paraId="3C03E7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3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42FE83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  <w:t xml:space="preserve">   2、出国经费</w:t>
            </w:r>
          </w:p>
        </w:tc>
        <w:tc>
          <w:tcPr>
            <w:tcW w:w="15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E2D3A80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  <w:t>　</w:t>
            </w:r>
          </w:p>
        </w:tc>
        <w:tc>
          <w:tcPr>
            <w:tcW w:w="220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D322BCF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7DECA8A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</w:pPr>
          </w:p>
        </w:tc>
      </w:tr>
      <w:tr w14:paraId="75A81E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3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DF3631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  <w:t xml:space="preserve">   3、公务接待</w:t>
            </w:r>
          </w:p>
        </w:tc>
        <w:tc>
          <w:tcPr>
            <w:tcW w:w="15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2BB57A8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  <w:t>1.48　</w:t>
            </w:r>
          </w:p>
        </w:tc>
        <w:tc>
          <w:tcPr>
            <w:tcW w:w="220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B86B724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  <w:t>3.8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BCC8512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  <w:t>0.24</w:t>
            </w:r>
          </w:p>
        </w:tc>
      </w:tr>
      <w:tr w14:paraId="4B1C87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3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ED1F89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  <w:t>项目支出：</w:t>
            </w:r>
          </w:p>
        </w:tc>
        <w:tc>
          <w:tcPr>
            <w:tcW w:w="15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4C8806C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  <w:t>891.33</w:t>
            </w:r>
          </w:p>
        </w:tc>
        <w:tc>
          <w:tcPr>
            <w:tcW w:w="220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9043763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  <w:t>159.29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DF84DAA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  <w:t>1599.26</w:t>
            </w:r>
          </w:p>
        </w:tc>
      </w:tr>
      <w:tr w14:paraId="6BF7F5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3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DDA5E9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  <w:t xml:space="preserve">   1、业务工作经费</w:t>
            </w:r>
          </w:p>
        </w:tc>
        <w:tc>
          <w:tcPr>
            <w:tcW w:w="15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AAA9CC0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  <w:t>53.13</w:t>
            </w:r>
          </w:p>
        </w:tc>
        <w:tc>
          <w:tcPr>
            <w:tcW w:w="220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71AF1C4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  <w:t>148.29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4AE40A0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  <w:t>148.29</w:t>
            </w:r>
          </w:p>
        </w:tc>
      </w:tr>
      <w:tr w14:paraId="5E9781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3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C37D37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  <w:t xml:space="preserve">   2、运行维护经费</w:t>
            </w:r>
          </w:p>
        </w:tc>
        <w:tc>
          <w:tcPr>
            <w:tcW w:w="15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2414B74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220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7CC58FA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  <w:t>　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20124E5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  <w:t>　</w:t>
            </w:r>
          </w:p>
        </w:tc>
      </w:tr>
      <w:tr w14:paraId="5494A4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3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DDDF5A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  <w:t xml:space="preserve">   3、本级专项资金（一个专项一行）</w:t>
            </w:r>
          </w:p>
        </w:tc>
        <w:tc>
          <w:tcPr>
            <w:tcW w:w="15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DBB6BCA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  <w:t>838.2</w:t>
            </w:r>
          </w:p>
        </w:tc>
        <w:tc>
          <w:tcPr>
            <w:tcW w:w="220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ED8F1DF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45FED86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 w14:paraId="7551DF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3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ADCFC1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ind w:firstLine="20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  <w:t>环境监测、监控及监察能力建设</w:t>
            </w:r>
          </w:p>
        </w:tc>
        <w:tc>
          <w:tcPr>
            <w:tcW w:w="15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7F17BDE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  <w:t>5</w:t>
            </w:r>
          </w:p>
        </w:tc>
        <w:tc>
          <w:tcPr>
            <w:tcW w:w="220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8CD283C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292FB6E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 w14:paraId="1A2C35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43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8CC7AE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ind w:firstLine="20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  <w:t>办案费支出</w:t>
            </w:r>
          </w:p>
        </w:tc>
        <w:tc>
          <w:tcPr>
            <w:tcW w:w="15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0198035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  <w:t>28.75</w:t>
            </w:r>
          </w:p>
        </w:tc>
        <w:tc>
          <w:tcPr>
            <w:tcW w:w="220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2337808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  <w:t>11　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6F0D0FE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  <w:t>10.01</w:t>
            </w:r>
          </w:p>
        </w:tc>
      </w:tr>
      <w:tr w14:paraId="542E47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3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D12101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ind w:firstLine="20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  <w:t>专项资金项目</w:t>
            </w:r>
          </w:p>
        </w:tc>
        <w:tc>
          <w:tcPr>
            <w:tcW w:w="15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19BFCAE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  <w:t>661.16</w:t>
            </w:r>
          </w:p>
        </w:tc>
        <w:tc>
          <w:tcPr>
            <w:tcW w:w="220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5B43144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C74D067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 w14:paraId="208513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3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990D7A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ind w:firstLine="20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  <w:t>环境监察、监测等运行经费</w:t>
            </w:r>
          </w:p>
        </w:tc>
        <w:tc>
          <w:tcPr>
            <w:tcW w:w="15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0225237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  <w:t>143.29</w:t>
            </w:r>
          </w:p>
        </w:tc>
        <w:tc>
          <w:tcPr>
            <w:tcW w:w="220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FA3D441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03CA972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 w14:paraId="2E190E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3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454017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ind w:firstLine="20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  <w:t>职业年金</w:t>
            </w:r>
          </w:p>
        </w:tc>
        <w:tc>
          <w:tcPr>
            <w:tcW w:w="15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9F6977F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220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A4A9BCF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F4FB36B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  <w:t>10.88</w:t>
            </w:r>
          </w:p>
        </w:tc>
      </w:tr>
      <w:tr w14:paraId="2F8A45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3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60A882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ind w:firstLine="20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  <w:t>生态文明示范村</w:t>
            </w:r>
          </w:p>
        </w:tc>
        <w:tc>
          <w:tcPr>
            <w:tcW w:w="15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0844484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220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BE4F3F0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B452055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  <w:t>18</w:t>
            </w:r>
          </w:p>
        </w:tc>
      </w:tr>
      <w:tr w14:paraId="2CB327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3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6AF9F9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ind w:firstLine="20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  <w:t>争资争项奖励资金</w:t>
            </w:r>
          </w:p>
        </w:tc>
        <w:tc>
          <w:tcPr>
            <w:tcW w:w="15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B629EF5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220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91D3D07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A8A0DFB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  <w:t>5.61</w:t>
            </w:r>
          </w:p>
        </w:tc>
      </w:tr>
      <w:tr w14:paraId="3F6C98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3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B1BF94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ind w:firstLine="20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  <w:t>生态环境县级事权项目</w:t>
            </w:r>
          </w:p>
        </w:tc>
        <w:tc>
          <w:tcPr>
            <w:tcW w:w="15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2AC2A1D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220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9607938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1AD5231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  <w:t>0.90</w:t>
            </w:r>
          </w:p>
        </w:tc>
      </w:tr>
      <w:tr w14:paraId="2D0312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3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5779A1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ind w:firstLine="20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  <w:t>劳务派遣</w:t>
            </w:r>
          </w:p>
        </w:tc>
        <w:tc>
          <w:tcPr>
            <w:tcW w:w="15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9E736DB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220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2054E9D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2C20327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  <w:t>10.80</w:t>
            </w:r>
          </w:p>
        </w:tc>
      </w:tr>
      <w:tr w14:paraId="1B0679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3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412336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ind w:firstLine="20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  <w:t>排污许可证核发与管理经费</w:t>
            </w:r>
          </w:p>
        </w:tc>
        <w:tc>
          <w:tcPr>
            <w:tcW w:w="15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FBEE9A3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220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194CA20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B8B63F3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  <w:t>18.00</w:t>
            </w:r>
          </w:p>
        </w:tc>
      </w:tr>
      <w:tr w14:paraId="316267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3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50CAB6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ind w:firstLine="20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  <w:t>县财政-集中饮用水源保护</w:t>
            </w:r>
          </w:p>
        </w:tc>
        <w:tc>
          <w:tcPr>
            <w:tcW w:w="15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CED18CE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220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4B6A5E7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FCB3CF2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  <w:t>294.13</w:t>
            </w:r>
          </w:p>
        </w:tc>
      </w:tr>
      <w:tr w14:paraId="29EBA8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3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3E7D54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ind w:firstLine="20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  <w:t>县财政-水质管控</w:t>
            </w:r>
          </w:p>
        </w:tc>
        <w:tc>
          <w:tcPr>
            <w:tcW w:w="15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6DEF401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220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2439C2D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6F729A3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  <w:t>20.00</w:t>
            </w:r>
          </w:p>
        </w:tc>
      </w:tr>
      <w:tr w14:paraId="436F12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3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D0BC20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ind w:firstLine="20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  <w:t>县财政-县重点流域河流排污口排查整治</w:t>
            </w:r>
          </w:p>
        </w:tc>
        <w:tc>
          <w:tcPr>
            <w:tcW w:w="15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25EC2D7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220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8F5CB35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14E6D92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  <w:t>250.67</w:t>
            </w:r>
          </w:p>
        </w:tc>
      </w:tr>
      <w:tr w14:paraId="5327B4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3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9BA6E2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ind w:firstLine="20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  <w:t>县财政-汩罗江流域水环境综合治理</w:t>
            </w:r>
          </w:p>
        </w:tc>
        <w:tc>
          <w:tcPr>
            <w:tcW w:w="15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42536B4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220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82DA6D5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6A4DAD6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  <w:t>16.00</w:t>
            </w:r>
          </w:p>
        </w:tc>
      </w:tr>
      <w:tr w14:paraId="6183D6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3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224AE8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ind w:firstLine="20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  <w:t>省级民生实事平江县集中式饮用水源地基础信息和构建物普查、水源地评估编制项目及柴油车尾气监测</w:t>
            </w:r>
          </w:p>
        </w:tc>
        <w:tc>
          <w:tcPr>
            <w:tcW w:w="15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F219133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220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B774228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0343454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  <w:t>90.30</w:t>
            </w:r>
          </w:p>
        </w:tc>
      </w:tr>
      <w:tr w14:paraId="7983BF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3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11C979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ind w:firstLine="20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  <w:t>污染防治攻坚战及环保督查工作经费</w:t>
            </w:r>
          </w:p>
        </w:tc>
        <w:tc>
          <w:tcPr>
            <w:tcW w:w="15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CA63030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220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5A7DC5F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F0EA2C1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  <w:t>1.26</w:t>
            </w:r>
          </w:p>
        </w:tc>
      </w:tr>
      <w:tr w14:paraId="0C06AB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3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CE2F9B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ind w:firstLine="20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  <w:t>国家重点生态功能区考核</w:t>
            </w:r>
          </w:p>
        </w:tc>
        <w:tc>
          <w:tcPr>
            <w:tcW w:w="15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8196093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220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BCD2CCE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96AFECD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  <w:t>52.55</w:t>
            </w:r>
          </w:p>
        </w:tc>
      </w:tr>
      <w:tr w14:paraId="39EB71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3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89C88A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ind w:firstLine="20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  <w:t>生态环境县级事权项目</w:t>
            </w:r>
          </w:p>
        </w:tc>
        <w:tc>
          <w:tcPr>
            <w:tcW w:w="15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3670744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220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6BE96D9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226D4F0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  <w:t>241.86</w:t>
            </w:r>
          </w:p>
        </w:tc>
      </w:tr>
      <w:tr w14:paraId="6FE668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3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7EE00C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ind w:firstLine="20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  <w:t>农村环境整治</w:t>
            </w:r>
          </w:p>
        </w:tc>
        <w:tc>
          <w:tcPr>
            <w:tcW w:w="15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8A86EF9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220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4C05DA3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F49F71D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  <w:t>410.00</w:t>
            </w:r>
          </w:p>
        </w:tc>
      </w:tr>
      <w:tr w14:paraId="5DD56F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4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4FC0E0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  <w:t>公用经费</w:t>
            </w:r>
          </w:p>
        </w:tc>
        <w:tc>
          <w:tcPr>
            <w:tcW w:w="15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19404B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  <w:t>201.64</w:t>
            </w:r>
          </w:p>
        </w:tc>
        <w:tc>
          <w:tcPr>
            <w:tcW w:w="22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3BA4E87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  <w:t>204.11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C00B1E0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  <w:t>187.28</w:t>
            </w:r>
          </w:p>
        </w:tc>
      </w:tr>
      <w:tr w14:paraId="22160E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1F55B8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  <w:t xml:space="preserve">    其中：办公经费</w:t>
            </w:r>
          </w:p>
        </w:tc>
        <w:tc>
          <w:tcPr>
            <w:tcW w:w="15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18B7D2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  <w:t>174.76</w:t>
            </w:r>
          </w:p>
        </w:tc>
        <w:tc>
          <w:tcPr>
            <w:tcW w:w="22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4BAD6A6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  <w:t>155.04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B215501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  <w:t>153.36</w:t>
            </w:r>
          </w:p>
        </w:tc>
      </w:tr>
      <w:tr w14:paraId="40E484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4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EE16A7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  <w:t xml:space="preserve">          水费、电费、差旅费</w:t>
            </w:r>
          </w:p>
        </w:tc>
        <w:tc>
          <w:tcPr>
            <w:tcW w:w="15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4732E8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  <w:t>25.88</w:t>
            </w:r>
          </w:p>
        </w:tc>
        <w:tc>
          <w:tcPr>
            <w:tcW w:w="22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C4360DA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  <w:t>22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FBC58B4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  <w:t>25.50</w:t>
            </w:r>
          </w:p>
        </w:tc>
      </w:tr>
      <w:tr w14:paraId="2D4403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D4FC13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  <w:t xml:space="preserve">          会议费、培训费</w:t>
            </w:r>
          </w:p>
        </w:tc>
        <w:tc>
          <w:tcPr>
            <w:tcW w:w="15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BC04A0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22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62F690A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  <w:t>2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833586F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</w:tr>
      <w:tr w14:paraId="074082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1CBB3D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  <w:t>政府采购金额</w:t>
            </w:r>
          </w:p>
        </w:tc>
        <w:tc>
          <w:tcPr>
            <w:tcW w:w="15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C7E532B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  <w:t>794.02</w:t>
            </w:r>
          </w:p>
        </w:tc>
        <w:tc>
          <w:tcPr>
            <w:tcW w:w="220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2B56DC9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  <w:t>204.72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4DE0CEE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  <w:t>1023.39</w:t>
            </w:r>
          </w:p>
        </w:tc>
      </w:tr>
      <w:tr w14:paraId="4DBD8B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3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CFE1E7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  <w:t>部门基本支出预算调整</w:t>
            </w:r>
          </w:p>
        </w:tc>
        <w:tc>
          <w:tcPr>
            <w:tcW w:w="15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D8A2020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220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A1304DC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  <w:t>286.59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A27207B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 w14:paraId="173863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436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F2C76D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  <w:t>楼堂馆所控制情况</w:t>
            </w: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  <w:t>（202</w:t>
            </w: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  <w:t>年完工项目）</w:t>
            </w:r>
          </w:p>
        </w:tc>
        <w:tc>
          <w:tcPr>
            <w:tcW w:w="7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282E07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napToGrid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napToGrid/>
                <w:kern w:val="2"/>
                <w:sz w:val="20"/>
                <w:szCs w:val="20"/>
                <w:highlight w:val="none"/>
                <w:lang w:eastAsia="zh-CN"/>
              </w:rPr>
              <w:t>批复规模</w:t>
            </w:r>
            <w:r>
              <w:rPr>
                <w:rFonts w:hint="eastAsia" w:ascii="仿宋_GB2312" w:hAnsi="仿宋_GB2312" w:eastAsia="仿宋_GB2312" w:cs="仿宋_GB2312"/>
                <w:bCs/>
                <w:snapToGrid/>
                <w:kern w:val="2"/>
                <w:sz w:val="20"/>
                <w:szCs w:val="20"/>
                <w:highlight w:val="none"/>
                <w:lang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Cs/>
                <w:snapToGrid/>
                <w:kern w:val="2"/>
                <w:sz w:val="20"/>
                <w:szCs w:val="20"/>
                <w:highlight w:val="none"/>
                <w:lang w:eastAsia="zh-CN"/>
              </w:rPr>
              <w:t>（㎡）</w:t>
            </w:r>
          </w:p>
        </w:tc>
        <w:tc>
          <w:tcPr>
            <w:tcW w:w="8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4B0751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napToGrid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napToGrid/>
                <w:kern w:val="2"/>
                <w:sz w:val="20"/>
                <w:szCs w:val="20"/>
                <w:highlight w:val="none"/>
                <w:lang w:eastAsia="zh-CN"/>
              </w:rPr>
              <w:t>实际规模（㎡）</w:t>
            </w:r>
          </w:p>
        </w:tc>
        <w:tc>
          <w:tcPr>
            <w:tcW w:w="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379BB4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napToGrid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napToGrid/>
                <w:kern w:val="2"/>
                <w:sz w:val="20"/>
                <w:szCs w:val="20"/>
                <w:highlight w:val="none"/>
                <w:lang w:eastAsia="zh-CN"/>
              </w:rPr>
              <w:t>规模控制率</w:t>
            </w:r>
          </w:p>
        </w:tc>
        <w:tc>
          <w:tcPr>
            <w:tcW w:w="9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C77BD3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napToGrid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napToGrid/>
                <w:kern w:val="2"/>
                <w:sz w:val="20"/>
                <w:szCs w:val="20"/>
                <w:highlight w:val="none"/>
                <w:lang w:eastAsia="zh-CN"/>
              </w:rPr>
              <w:t>预算投资（万元）</w:t>
            </w:r>
          </w:p>
        </w:tc>
        <w:tc>
          <w:tcPr>
            <w:tcW w:w="10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42A858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napToGrid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napToGrid/>
                <w:kern w:val="2"/>
                <w:sz w:val="20"/>
                <w:szCs w:val="20"/>
                <w:highlight w:val="none"/>
                <w:lang w:eastAsia="zh-CN"/>
              </w:rPr>
              <w:t>实际投资（万元）</w:t>
            </w:r>
          </w:p>
        </w:tc>
        <w:tc>
          <w:tcPr>
            <w:tcW w:w="10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DB5CF8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napToGrid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napToGrid/>
                <w:kern w:val="2"/>
                <w:sz w:val="20"/>
                <w:szCs w:val="20"/>
                <w:highlight w:val="none"/>
                <w:lang w:eastAsia="zh-CN"/>
              </w:rPr>
              <w:t>投资概算控制率</w:t>
            </w:r>
          </w:p>
        </w:tc>
      </w:tr>
      <w:tr w14:paraId="4FFE82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436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AE3125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20C22C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972983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82ED43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F27538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CC331A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47BD76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</w:tr>
      <w:tr w14:paraId="39DC34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3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B8D801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  <w:t>厉行节约保障措施</w:t>
            </w:r>
          </w:p>
        </w:tc>
        <w:tc>
          <w:tcPr>
            <w:tcW w:w="536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86E35D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严格落实中央八项规定，从严控制“三公”经费。</w:t>
            </w: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  <w:t>　</w:t>
            </w:r>
          </w:p>
        </w:tc>
      </w:tr>
    </w:tbl>
    <w:p w14:paraId="6C1BBB08">
      <w:pPr>
        <w:widowControl/>
        <w:kinsoku/>
        <w:autoSpaceDE/>
        <w:autoSpaceDN/>
        <w:adjustRightInd/>
        <w:snapToGrid/>
        <w:spacing w:afterLines="0" w:line="400" w:lineRule="exact"/>
        <w:ind w:left="660" w:hanging="660" w:hangingChars="300"/>
        <w:jc w:val="left"/>
        <w:textAlignment w:val="auto"/>
        <w:rPr>
          <w:rFonts w:hint="default" w:ascii="Times New Roman" w:hAnsi="Times New Roman" w:eastAsia="仿宋_GB2312" w:cs="Times New Roman"/>
          <w:snapToGrid/>
          <w:kern w:val="2"/>
          <w:sz w:val="22"/>
          <w:szCs w:val="24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kern w:val="2"/>
          <w:sz w:val="22"/>
          <w:szCs w:val="24"/>
          <w:highlight w:val="none"/>
          <w:lang w:eastAsia="zh-CN"/>
        </w:rPr>
        <w:t>说明：“项目支出”需要填报基本支出以外的所有项目支出情况，“公用经费”填报基本支出中的一般商品和服务支出。</w:t>
      </w:r>
    </w:p>
    <w:p w14:paraId="63E84FD8">
      <w:pPr>
        <w:widowControl/>
        <w:kinsoku/>
        <w:autoSpaceDE/>
        <w:autoSpaceDN/>
        <w:adjustRightInd/>
        <w:snapToGrid/>
        <w:spacing w:after="0" w:afterLines="0" w:line="400" w:lineRule="exact"/>
        <w:jc w:val="left"/>
        <w:textAlignment w:val="auto"/>
        <w:rPr>
          <w:rFonts w:hint="eastAsia" w:ascii="黑体" w:hAnsi="黑体" w:eastAsia="黑体" w:cs="黑体"/>
          <w:snapToGrid/>
          <w:kern w:val="2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/>
          <w:kern w:val="2"/>
          <w:sz w:val="22"/>
          <w:szCs w:val="24"/>
          <w:highlight w:val="none"/>
          <w:lang w:eastAsia="zh-CN"/>
        </w:rPr>
        <w:t>填表人：        填报日期：          联系电话：            单位负责人签字：</w:t>
      </w:r>
      <w:r>
        <w:rPr>
          <w:rFonts w:hint="default" w:ascii="Times New Roman" w:hAnsi="Times New Roman" w:eastAsia="仿宋_GB2312" w:cs="Times New Roman"/>
          <w:snapToGrid/>
          <w:kern w:val="2"/>
          <w:sz w:val="22"/>
          <w:szCs w:val="24"/>
          <w:highlight w:val="none"/>
          <w:lang w:eastAsia="zh-CN"/>
        </w:rPr>
        <w:br w:type="page"/>
      </w:r>
      <w:r>
        <w:rPr>
          <w:rFonts w:hint="eastAsia" w:ascii="黑体" w:hAnsi="黑体" w:eastAsia="黑体" w:cs="黑体"/>
          <w:snapToGrid/>
          <w:kern w:val="2"/>
          <w:sz w:val="32"/>
          <w:szCs w:val="32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snapToGrid/>
          <w:kern w:val="2"/>
          <w:sz w:val="32"/>
          <w:szCs w:val="32"/>
          <w:highlight w:val="none"/>
          <w:lang w:val="en-US" w:eastAsia="zh-CN"/>
        </w:rPr>
        <w:t>2</w:t>
      </w:r>
    </w:p>
    <w:p w14:paraId="36203195">
      <w:pPr>
        <w:widowControl/>
        <w:kinsoku/>
        <w:autoSpaceDE/>
        <w:autoSpaceDN/>
        <w:adjustRightInd/>
        <w:snapToGrid/>
        <w:spacing w:after="120" w:afterLines="50"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snapToGrid/>
          <w:color w:val="000000"/>
          <w:kern w:val="2"/>
          <w:sz w:val="36"/>
          <w:szCs w:val="36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napToGrid/>
          <w:color w:val="000000"/>
          <w:kern w:val="2"/>
          <w:sz w:val="36"/>
          <w:szCs w:val="36"/>
          <w:highlight w:val="none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snapToGrid/>
          <w:color w:val="000000"/>
          <w:kern w:val="2"/>
          <w:sz w:val="36"/>
          <w:szCs w:val="36"/>
          <w:highlight w:val="none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napToGrid/>
          <w:color w:val="000000"/>
          <w:kern w:val="2"/>
          <w:sz w:val="36"/>
          <w:szCs w:val="36"/>
          <w:highlight w:val="none"/>
          <w:lang w:eastAsia="zh-CN"/>
        </w:rPr>
        <w:t>年度部门整体支出绩效自评表</w:t>
      </w:r>
    </w:p>
    <w:tbl>
      <w:tblPr>
        <w:tblStyle w:val="3"/>
        <w:tblW w:w="10197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7"/>
        <w:gridCol w:w="980"/>
        <w:gridCol w:w="1026"/>
        <w:gridCol w:w="1469"/>
        <w:gridCol w:w="1273"/>
        <w:gridCol w:w="1265"/>
        <w:gridCol w:w="714"/>
        <w:gridCol w:w="916"/>
        <w:gridCol w:w="1437"/>
      </w:tblGrid>
      <w:tr w14:paraId="50E29D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9A2111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市级预算部门名称</w:t>
            </w:r>
          </w:p>
        </w:tc>
        <w:tc>
          <w:tcPr>
            <w:tcW w:w="908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00E820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岳阳市生态环境局平江分局　</w:t>
            </w:r>
          </w:p>
        </w:tc>
      </w:tr>
      <w:tr w14:paraId="173BA1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  <w:jc w:val="center"/>
        </w:trPr>
        <w:tc>
          <w:tcPr>
            <w:tcW w:w="1117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A466888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年度预</w:t>
            </w:r>
          </w:p>
          <w:p w14:paraId="1098C3F9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算申请</w:t>
            </w: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（万元）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DEEEBC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353986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  <w:t>年初预算数</w:t>
            </w:r>
          </w:p>
        </w:tc>
        <w:tc>
          <w:tcPr>
            <w:tcW w:w="1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030A08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  <w:t>全年预算数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FC9F5A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  <w:t>全年执行数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909285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  <w:t>分值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CF260F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  <w:t>执行率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E3D10C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  <w:t>得分</w:t>
            </w:r>
          </w:p>
        </w:tc>
      </w:tr>
      <w:tr w14:paraId="6FE07E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7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A123AC8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E8208A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年度资金总额</w:t>
            </w:r>
          </w:p>
        </w:tc>
        <w:tc>
          <w:tcPr>
            <w:tcW w:w="14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E4D486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Cs w:val="24"/>
                <w:lang w:val="en-US" w:eastAsia="zh-CN"/>
              </w:rPr>
              <w:t>1470.47</w:t>
            </w:r>
          </w:p>
        </w:tc>
        <w:tc>
          <w:tcPr>
            <w:tcW w:w="1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D24D5C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Cs w:val="24"/>
                <w:lang w:val="en-US" w:eastAsia="zh-CN"/>
              </w:rPr>
              <w:t>3241.60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7B2C08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Cs w:val="24"/>
                <w:lang w:val="en-US" w:eastAsia="zh-CN"/>
              </w:rPr>
              <w:t>3138.56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2CB753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  <w:t>10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A62246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  <w:t>96.82</w:t>
            </w:r>
            <w:r>
              <w:rPr>
                <w:rFonts w:hint="default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  <w:t>%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7D349C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  <w:t>9.68</w:t>
            </w:r>
          </w:p>
        </w:tc>
      </w:tr>
      <w:tr w14:paraId="4BAB38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3C7E143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474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D5C435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按收入性质分：</w:t>
            </w:r>
          </w:p>
        </w:tc>
        <w:tc>
          <w:tcPr>
            <w:tcW w:w="433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D36869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按支出性质分：</w:t>
            </w:r>
          </w:p>
        </w:tc>
      </w:tr>
      <w:tr w14:paraId="071757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BC4F622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474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F9F719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 xml:space="preserve">  其中：一般公共预算：</w:t>
            </w: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1829.52</w:t>
            </w:r>
          </w:p>
        </w:tc>
        <w:tc>
          <w:tcPr>
            <w:tcW w:w="433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D264FB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其中：基本支出：</w:t>
            </w: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1539.30</w:t>
            </w:r>
          </w:p>
        </w:tc>
      </w:tr>
      <w:tr w14:paraId="1174AE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088773A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474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F41EF7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ind w:firstLine="800" w:firstLineChars="400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政府性基金拨款：</w:t>
            </w:r>
          </w:p>
        </w:tc>
        <w:tc>
          <w:tcPr>
            <w:tcW w:w="433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987DF8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ind w:firstLine="600" w:firstLineChars="300"/>
              <w:jc w:val="left"/>
              <w:textAlignment w:val="auto"/>
              <w:rPr>
                <w:rFonts w:hint="default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项目支出：</w:t>
            </w: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1599.26</w:t>
            </w:r>
          </w:p>
        </w:tc>
      </w:tr>
      <w:tr w14:paraId="262CA3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B8DC817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474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435F49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纳入专户管理的非税收入拨款：</w:t>
            </w:r>
          </w:p>
        </w:tc>
        <w:tc>
          <w:tcPr>
            <w:tcW w:w="433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9EF475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</w:p>
        </w:tc>
      </w:tr>
      <w:tr w14:paraId="2580FF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7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F0C6F66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474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55F30F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ind w:firstLine="1400" w:firstLineChars="700"/>
              <w:jc w:val="left"/>
              <w:textAlignment w:val="auto"/>
              <w:rPr>
                <w:rFonts w:hint="default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其他资金：</w:t>
            </w: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1412.08</w:t>
            </w:r>
          </w:p>
        </w:tc>
        <w:tc>
          <w:tcPr>
            <w:tcW w:w="433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481228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</w:p>
        </w:tc>
      </w:tr>
      <w:tr w14:paraId="506455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4BEFCEB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年度总体目标</w:t>
            </w:r>
          </w:p>
        </w:tc>
        <w:tc>
          <w:tcPr>
            <w:tcW w:w="474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4D010D9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预期目标</w:t>
            </w:r>
          </w:p>
        </w:tc>
        <w:tc>
          <w:tcPr>
            <w:tcW w:w="433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495C8F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实际完成情况　</w:t>
            </w:r>
          </w:p>
        </w:tc>
      </w:tr>
      <w:tr w14:paraId="2D44AA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7820B8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474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339E0EA">
            <w:pPr>
              <w:widowControl/>
              <w:numPr>
                <w:ilvl w:val="0"/>
                <w:numId w:val="0"/>
              </w:numPr>
              <w:kinsoku/>
              <w:autoSpaceDE/>
              <w:autoSpaceDN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1、认真贯彻落实党的二十大和生态文明思想，以“降碳、减污、扩绿、增长”为宗旨，以污染防治工作为中心，坚持山水林田湖草沙一体化保护和系统治理，持续推进生态环境保护项目建设，改善大气生态环境、水生态环境等。统筹产业结构调整、生态保护、应对气候变化，推进生态优先、节约集约、绿色低碳发展。</w:t>
            </w:r>
          </w:p>
          <w:p w14:paraId="27DFA374">
            <w:pPr>
              <w:widowControl/>
              <w:numPr>
                <w:ilvl w:val="0"/>
                <w:numId w:val="0"/>
              </w:numPr>
              <w:kinsoku/>
              <w:autoSpaceDE/>
              <w:autoSpaceDN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2、污染防治为中心，以污染防治攻坚战、“夏季攻势”、“洞庭清波”任务、环保督查、月考核和空气、水环境质量改善为重点，持续抓好突出生态环境问题整改。</w:t>
            </w:r>
          </w:p>
          <w:p w14:paraId="40E45B88">
            <w:pPr>
              <w:widowControl/>
              <w:numPr>
                <w:ilvl w:val="0"/>
                <w:numId w:val="0"/>
              </w:numPr>
              <w:kinsoku/>
              <w:autoSpaceDE/>
              <w:autoSpaceDN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3、持续抓好大气污染联防联控，加强重点行业、企业大气污染防治，深入推进重污染天气应对、秸秆焚烧、工地扬尘、餐饮油烟、机动车等污染治理。严格执法监管，防范化解环境风险隐患，严厉打击环境违法行为。</w:t>
            </w:r>
          </w:p>
          <w:p w14:paraId="42D77106">
            <w:pPr>
              <w:widowControl/>
              <w:numPr>
                <w:ilvl w:val="0"/>
                <w:numId w:val="0"/>
              </w:numPr>
              <w:kinsoku/>
              <w:autoSpaceDE/>
              <w:autoSpaceDN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4、制定入河(湖)排污口“一口一策”清单，加强入河(湖)排污口监督管理，改善水生态环境质量。全面落实河长制工作，促进县域水质持续稳定向好。全面巩固和提升水环境治理成效。</w:t>
            </w:r>
          </w:p>
          <w:p w14:paraId="209635AA">
            <w:pPr>
              <w:widowControl/>
              <w:numPr>
                <w:ilvl w:val="0"/>
                <w:numId w:val="0"/>
              </w:numPr>
              <w:kinsoku/>
              <w:autoSpaceDE/>
              <w:autoSpaceDN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5、推进农村人居环境整治，涉水、土、气治理项目争项争资项目申报，确保区域内生态环境安全，减少污染事件发生。促进区域内生态环境健康发展。</w:t>
            </w:r>
          </w:p>
          <w:p w14:paraId="000218B9">
            <w:pPr>
              <w:widowControl/>
              <w:numPr>
                <w:ilvl w:val="0"/>
                <w:numId w:val="0"/>
              </w:numPr>
              <w:kinsoku/>
              <w:autoSpaceDE/>
              <w:autoSpaceDN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6、坚持突出环境问题及信访问题整改，信访答复及时、立行立改及时，并加强与群众沟通交流，切实增强群众获得感和幸福感。</w:t>
            </w:r>
          </w:p>
          <w:p w14:paraId="4234F39A">
            <w:pPr>
              <w:widowControl/>
              <w:numPr>
                <w:ilvl w:val="0"/>
                <w:numId w:val="0"/>
              </w:numPr>
              <w:kinsoku/>
              <w:autoSpaceDE/>
              <w:autoSpaceDN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7、巩固生态功能县创建成果，创建两山基地。</w:t>
            </w:r>
          </w:p>
        </w:tc>
        <w:tc>
          <w:tcPr>
            <w:tcW w:w="433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B08814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1.县城区空气质量综合指数为3.09，优良率达93.4%；PM2.5平均浓度30.2微克/立方米，PM10平均浓度48微克/立方米，稳定达到国家二级标准。</w:t>
            </w:r>
          </w:p>
          <w:p w14:paraId="6DBE7DC9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2.7个国省考断面水质月均值达标率100%，集中式饮用水水源地水质优良比例100%，无劣Ⅴ类水体。</w:t>
            </w:r>
          </w:p>
          <w:p w14:paraId="0904569D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3.扎实推进土壤污染风险管控和修复，受污染耕地安全利用率93%以上，重点建设用地安全利用得到有效保障。危险废物安全处置率100%，土壤环境风险总体可控。森林覆盖率稳定在66.68%，绿色本底更加厚实。</w:t>
            </w:r>
          </w:p>
          <w:p w14:paraId="08A21A39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4.淘汰老旧柴油货车58辆、非道路移动机械及老旧农机具261台套，推广新能源车辆270辆。完成6家砖厂升级、2家砖厂和43台锅炉淘汰及7家加油站油气回收改造。排查整治入河排污口，284个排口完成监测溯源，6个问题排口整治到位。完成29个地块土壤环境调查。启动2个历史遗留重金属废渣整治项目。完成61个行政村农村环境整治，治理率超50%。</w:t>
            </w:r>
          </w:p>
          <w:p w14:paraId="7B3D60EA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5.开展系列专项执法行动，全年立案查处28起，移送行政拘留1起、刑事立案1起，保持执法高压态势。</w:t>
            </w:r>
          </w:p>
          <w:p w14:paraId="63290055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6.运用信息化手段精准监控舆情信访，全年受理办结环境信访202件。</w:t>
            </w:r>
          </w:p>
        </w:tc>
      </w:tr>
      <w:tr w14:paraId="1E2C14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888EC2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绩</w:t>
            </w:r>
          </w:p>
          <w:p w14:paraId="4452D096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效</w:t>
            </w:r>
          </w:p>
          <w:p w14:paraId="4C20723F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指</w:t>
            </w:r>
          </w:p>
          <w:p w14:paraId="50ADAD59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标</w:t>
            </w:r>
          </w:p>
          <w:p w14:paraId="055F21A0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74B894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一级指标</w:t>
            </w: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59DCB3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二级指标</w:t>
            </w:r>
          </w:p>
        </w:tc>
        <w:tc>
          <w:tcPr>
            <w:tcW w:w="1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0890E7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三级指标</w:t>
            </w: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7622E3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年度指标值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0C6D5B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实际完成值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C7B1A3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分值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A8C0D7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得分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72F293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偏差原因分析及改进措施</w:t>
            </w:r>
          </w:p>
        </w:tc>
      </w:tr>
      <w:tr w14:paraId="126444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11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724438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9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8CFAB2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产出指标</w:t>
            </w:r>
          </w:p>
          <w:p w14:paraId="20069182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</w:p>
          <w:p w14:paraId="43E19F31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(50分)</w:t>
            </w: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68CFF7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数量指标</w:t>
            </w:r>
          </w:p>
        </w:tc>
        <w:tc>
          <w:tcPr>
            <w:tcW w:w="1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BFDB67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强力开展各项行动</w:t>
            </w: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68623A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11次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54F096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28次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7230E6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BB72A3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4EEC3C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　</w:t>
            </w:r>
          </w:p>
        </w:tc>
      </w:tr>
      <w:tr w14:paraId="5FF969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63F4B5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9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68D517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02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C62B11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质量指标</w:t>
            </w:r>
          </w:p>
        </w:tc>
        <w:tc>
          <w:tcPr>
            <w:tcW w:w="1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5294FB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环境空气优良率</w:t>
            </w: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2391C3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default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≥90%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07FE19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93.4</w:t>
            </w:r>
            <w:r>
              <w:rPr>
                <w:rFonts w:hint="default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%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0FCC68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08C0A4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D056BC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</w:p>
        </w:tc>
      </w:tr>
      <w:tr w14:paraId="33444F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D6E530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9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33F07F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0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6F1936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5E6461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水质优良达标率</w:t>
            </w: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5D57E0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default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100%达标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424E66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default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100%达标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FEB91B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05AABD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default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72F41A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</w:p>
        </w:tc>
      </w:tr>
      <w:tr w14:paraId="05111C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F2A474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9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020C8D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02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EB698B4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时效指标</w:t>
            </w:r>
          </w:p>
        </w:tc>
        <w:tc>
          <w:tcPr>
            <w:tcW w:w="1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80DCEB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按时完成各项指标任务</w:t>
            </w: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9DE478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202</w:t>
            </w: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default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年度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D881B5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202</w:t>
            </w: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default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年度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CF6679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6048FE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A6AB00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</w:p>
        </w:tc>
      </w:tr>
      <w:tr w14:paraId="5C6A0A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A4D9D5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9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2D8BE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02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B6DA59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5D9960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突发任务及时完成</w:t>
            </w: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C715D4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default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即时完成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A0A07F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default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即时完成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84FEEE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FF0BE0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default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0774E3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　</w:t>
            </w:r>
          </w:p>
        </w:tc>
      </w:tr>
      <w:tr w14:paraId="3092B2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DBA633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9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B7F9D6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08BE21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成本指标</w:t>
            </w:r>
          </w:p>
        </w:tc>
        <w:tc>
          <w:tcPr>
            <w:tcW w:w="1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0E6CC4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控制在预算内</w:t>
            </w: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32F6FE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≤3241.60</w:t>
            </w:r>
            <w:r>
              <w:rPr>
                <w:rFonts w:hint="default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万元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0EE295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3138.56</w:t>
            </w:r>
            <w:r>
              <w:rPr>
                <w:rFonts w:hint="default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万元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9BD2BE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2</w:t>
            </w:r>
            <w:r>
              <w:rPr>
                <w:rFonts w:hint="default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B65AE2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2</w:t>
            </w:r>
            <w:r>
              <w:rPr>
                <w:rFonts w:hint="default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2EF9E3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　</w:t>
            </w:r>
          </w:p>
        </w:tc>
      </w:tr>
      <w:tr w14:paraId="0BB066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A80AE5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9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E18FF7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效益指标</w:t>
            </w:r>
          </w:p>
          <w:p w14:paraId="1165C36B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</w:p>
          <w:p w14:paraId="2A91B9B9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（30分）</w:t>
            </w:r>
          </w:p>
          <w:p w14:paraId="0EBFEA7F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　</w:t>
            </w: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C8F391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经济效</w:t>
            </w:r>
          </w:p>
          <w:p w14:paraId="6EF6482C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益指标</w:t>
            </w:r>
          </w:p>
        </w:tc>
        <w:tc>
          <w:tcPr>
            <w:tcW w:w="1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882131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促进经济发展</w:t>
            </w: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E2B619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default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平稳发展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644860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default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平稳发展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765D3C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3FCA16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FC159D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　</w:t>
            </w:r>
          </w:p>
        </w:tc>
      </w:tr>
      <w:tr w14:paraId="5F1597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7978E3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9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3CBD12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53F93C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社会效</w:t>
            </w:r>
          </w:p>
          <w:p w14:paraId="346E7016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益指标</w:t>
            </w:r>
          </w:p>
        </w:tc>
        <w:tc>
          <w:tcPr>
            <w:tcW w:w="1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F7F027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改善居民生产、生活环境，提升幸福生活指数</w:t>
            </w: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06CE2E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有所改善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3D1131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有所改善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874719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D0ED87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A49164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　</w:t>
            </w:r>
          </w:p>
        </w:tc>
      </w:tr>
      <w:tr w14:paraId="014541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637BDF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9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85C774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D7E70E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生态效</w:t>
            </w:r>
          </w:p>
          <w:p w14:paraId="39734B82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益指标</w:t>
            </w:r>
          </w:p>
        </w:tc>
        <w:tc>
          <w:tcPr>
            <w:tcW w:w="1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959F67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治理重点污染城市环境空气质量优良率</w:t>
            </w: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6962D4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≥</w:t>
            </w: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85</w:t>
            </w:r>
            <w:r>
              <w:rPr>
                <w:rFonts w:hint="default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%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A75BBA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93.4</w:t>
            </w:r>
            <w:r>
              <w:rPr>
                <w:rFonts w:hint="default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%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FE9A2B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661AB7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28D7D5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　</w:t>
            </w:r>
          </w:p>
        </w:tc>
      </w:tr>
      <w:tr w14:paraId="7CE7CC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39959A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9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23FBEB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02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F7F351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可持续影响指标</w:t>
            </w:r>
          </w:p>
        </w:tc>
        <w:tc>
          <w:tcPr>
            <w:tcW w:w="1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54B0AF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环境安全</w:t>
            </w: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52D959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default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确保安全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0283D4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default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确保安全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25E14A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8CAA4A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CF6F6D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</w:p>
        </w:tc>
      </w:tr>
      <w:tr w14:paraId="2397E4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5CB94E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9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9E5BE0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0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EDA7FE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92784C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生态环境实现可持续发展</w:t>
            </w: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2B7046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default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可持续发展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A0FC9C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default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可持续发展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D44CEB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7C5123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35BF29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</w:p>
        </w:tc>
      </w:tr>
      <w:tr w14:paraId="32681B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ADF0B0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9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2F9ADF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0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0283A4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298989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绿色发展稳步推进</w:t>
            </w: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26B539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效益明显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81566D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效益明显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43610C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10CADB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A3BAAB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　</w:t>
            </w:r>
          </w:p>
        </w:tc>
      </w:tr>
      <w:tr w14:paraId="106AAF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1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827524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1E5B5F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满意度</w:t>
            </w:r>
          </w:p>
          <w:p w14:paraId="2294F75C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指标</w:t>
            </w:r>
          </w:p>
          <w:p w14:paraId="74C22C64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（10分）</w:t>
            </w: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454102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服务对象满意度指标</w:t>
            </w:r>
          </w:p>
        </w:tc>
        <w:tc>
          <w:tcPr>
            <w:tcW w:w="1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50D06A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平江县全体人民群众</w:t>
            </w: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93817F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≥95%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CA1CEE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95%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BD1651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6A25B4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456BBA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　</w:t>
            </w:r>
          </w:p>
        </w:tc>
      </w:tr>
      <w:tr w14:paraId="550D16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13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7E7725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总分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19F78C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100</w:t>
            </w:r>
          </w:p>
        </w:tc>
        <w:tc>
          <w:tcPr>
            <w:tcW w:w="9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064185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99.68</w:t>
            </w:r>
          </w:p>
        </w:tc>
        <w:tc>
          <w:tcPr>
            <w:tcW w:w="1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BE099D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　</w:t>
            </w:r>
          </w:p>
        </w:tc>
      </w:tr>
    </w:tbl>
    <w:p w14:paraId="0706528E">
      <w:pPr>
        <w:widowControl/>
        <w:kinsoku/>
        <w:autoSpaceDE/>
        <w:autoSpaceDN/>
        <w:adjustRightInd/>
        <w:snapToGrid/>
        <w:spacing w:line="600" w:lineRule="exact"/>
        <w:jc w:val="left"/>
        <w:textAlignment w:val="auto"/>
        <w:rPr>
          <w:rFonts w:hint="default" w:ascii="Times New Roman" w:hAnsi="Times New Roman" w:eastAsia="仿宋_GB2312" w:cs="Times New Roman"/>
          <w:snapToGrid/>
          <w:kern w:val="2"/>
          <w:sz w:val="22"/>
          <w:szCs w:val="2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kern w:val="2"/>
          <w:sz w:val="22"/>
          <w:szCs w:val="22"/>
          <w:highlight w:val="none"/>
          <w:lang w:eastAsia="zh-CN"/>
        </w:rPr>
        <w:t xml:space="preserve">填表人：      填报日期：         联系电话：     </w:t>
      </w:r>
      <w:r>
        <w:rPr>
          <w:rFonts w:hint="eastAsia" w:ascii="Times New Roman" w:hAnsi="Times New Roman" w:eastAsia="仿宋_GB2312" w:cs="Times New Roman"/>
          <w:snapToGrid/>
          <w:kern w:val="2"/>
          <w:sz w:val="22"/>
          <w:szCs w:val="22"/>
          <w:highlight w:val="none"/>
          <w:lang w:val="en-US" w:eastAsia="zh-CN"/>
        </w:rPr>
        <w:t xml:space="preserve">           </w:t>
      </w:r>
      <w:r>
        <w:rPr>
          <w:rFonts w:hint="default" w:ascii="Times New Roman" w:hAnsi="Times New Roman" w:eastAsia="仿宋_GB2312" w:cs="Times New Roman"/>
          <w:snapToGrid/>
          <w:kern w:val="2"/>
          <w:sz w:val="22"/>
          <w:szCs w:val="22"/>
          <w:highlight w:val="none"/>
          <w:lang w:eastAsia="zh-CN"/>
        </w:rPr>
        <w:t>单位负责人签字：</w:t>
      </w:r>
    </w:p>
    <w:p w14:paraId="1F60D71A">
      <w:pPr>
        <w:widowControl/>
        <w:kinsoku/>
        <w:autoSpaceDE/>
        <w:autoSpaceDN/>
        <w:adjustRightInd/>
        <w:snapToGrid/>
        <w:spacing w:line="600" w:lineRule="exact"/>
        <w:jc w:val="left"/>
        <w:textAlignment w:val="auto"/>
        <w:rPr>
          <w:rFonts w:hint="eastAsia" w:ascii="黑体" w:hAnsi="黑体" w:eastAsia="黑体" w:cs="黑体"/>
          <w:snapToGrid/>
          <w:kern w:val="2"/>
          <w:sz w:val="32"/>
          <w:szCs w:val="32"/>
          <w:highlight w:val="none"/>
          <w:lang w:eastAsia="zh-CN"/>
        </w:rPr>
      </w:pPr>
    </w:p>
    <w:p w14:paraId="44B6699B">
      <w:pPr>
        <w:widowControl/>
        <w:kinsoku/>
        <w:autoSpaceDE/>
        <w:autoSpaceDN/>
        <w:adjustRightInd/>
        <w:snapToGrid/>
        <w:spacing w:line="600" w:lineRule="exact"/>
        <w:jc w:val="left"/>
        <w:textAlignment w:val="auto"/>
        <w:rPr>
          <w:rFonts w:hint="eastAsia" w:ascii="黑体" w:hAnsi="黑体" w:eastAsia="黑体" w:cs="黑体"/>
          <w:snapToGrid/>
          <w:kern w:val="2"/>
          <w:sz w:val="32"/>
          <w:szCs w:val="32"/>
          <w:highlight w:val="none"/>
          <w:lang w:eastAsia="zh-CN"/>
        </w:rPr>
      </w:pPr>
    </w:p>
    <w:p w14:paraId="1F585AF8">
      <w:pPr>
        <w:widowControl/>
        <w:kinsoku/>
        <w:autoSpaceDE/>
        <w:autoSpaceDN/>
        <w:adjustRightInd/>
        <w:snapToGrid/>
        <w:spacing w:line="600" w:lineRule="exact"/>
        <w:jc w:val="left"/>
        <w:textAlignment w:val="auto"/>
        <w:rPr>
          <w:rFonts w:hint="eastAsia" w:ascii="黑体" w:hAnsi="黑体" w:eastAsia="黑体" w:cs="黑体"/>
          <w:snapToGrid/>
          <w:kern w:val="2"/>
          <w:sz w:val="32"/>
          <w:szCs w:val="32"/>
          <w:highlight w:val="none"/>
          <w:lang w:eastAsia="zh-CN"/>
        </w:rPr>
      </w:pPr>
    </w:p>
    <w:p w14:paraId="5802EDF4">
      <w:pPr>
        <w:rPr>
          <w:rFonts w:hint="eastAsia" w:ascii="黑体" w:hAnsi="黑体" w:eastAsia="黑体" w:cs="黑体"/>
          <w:snapToGrid/>
          <w:kern w:val="2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snapToGrid/>
          <w:kern w:val="2"/>
          <w:sz w:val="32"/>
          <w:szCs w:val="32"/>
          <w:highlight w:val="none"/>
          <w:lang w:eastAsia="zh-CN"/>
        </w:rPr>
        <w:br w:type="page"/>
      </w:r>
    </w:p>
    <w:p w14:paraId="29397506">
      <w:pPr>
        <w:widowControl/>
        <w:kinsoku/>
        <w:autoSpaceDE/>
        <w:autoSpaceDN/>
        <w:adjustRightInd/>
        <w:snapToGrid/>
        <w:spacing w:line="600" w:lineRule="exact"/>
        <w:jc w:val="left"/>
        <w:textAlignment w:val="auto"/>
        <w:rPr>
          <w:rFonts w:hint="default" w:ascii="黑体" w:hAnsi="黑体" w:eastAsia="黑体" w:cs="黑体"/>
          <w:snapToGrid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napToGrid/>
          <w:kern w:val="2"/>
          <w:sz w:val="32"/>
          <w:szCs w:val="32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snapToGrid/>
          <w:kern w:val="2"/>
          <w:sz w:val="32"/>
          <w:szCs w:val="32"/>
          <w:highlight w:val="none"/>
          <w:lang w:val="en-US" w:eastAsia="zh-CN"/>
        </w:rPr>
        <w:t>3-1</w:t>
      </w:r>
    </w:p>
    <w:p w14:paraId="4E823395">
      <w:pPr>
        <w:widowControl/>
        <w:kinsoku/>
        <w:autoSpaceDE/>
        <w:autoSpaceDN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napToGrid/>
          <w:color w:val="000000"/>
          <w:kern w:val="2"/>
          <w:sz w:val="36"/>
          <w:szCs w:val="36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napToGrid/>
          <w:color w:val="000000"/>
          <w:kern w:val="2"/>
          <w:sz w:val="36"/>
          <w:szCs w:val="36"/>
          <w:highlight w:val="none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snapToGrid/>
          <w:color w:val="000000"/>
          <w:kern w:val="2"/>
          <w:sz w:val="36"/>
          <w:szCs w:val="36"/>
          <w:highlight w:val="none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napToGrid/>
          <w:color w:val="000000"/>
          <w:kern w:val="2"/>
          <w:sz w:val="36"/>
          <w:szCs w:val="36"/>
          <w:highlight w:val="none"/>
          <w:lang w:eastAsia="zh-CN"/>
        </w:rPr>
        <w:t>年度项目支出绩效自评表</w:t>
      </w:r>
    </w:p>
    <w:tbl>
      <w:tblPr>
        <w:tblStyle w:val="3"/>
        <w:tblW w:w="985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080"/>
        <w:gridCol w:w="1224"/>
        <w:gridCol w:w="1134"/>
        <w:gridCol w:w="1134"/>
        <w:gridCol w:w="828"/>
        <w:gridCol w:w="873"/>
        <w:gridCol w:w="1418"/>
      </w:tblGrid>
      <w:tr w14:paraId="0EC42ADA">
        <w:trPr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DF15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项目支</w:t>
            </w:r>
          </w:p>
          <w:p w14:paraId="01F83B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出名称</w:t>
            </w:r>
          </w:p>
        </w:tc>
        <w:tc>
          <w:tcPr>
            <w:tcW w:w="877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DFAF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  <w:t>业务工作经费</w:t>
            </w: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　</w:t>
            </w:r>
          </w:p>
        </w:tc>
      </w:tr>
      <w:tr w14:paraId="67EFFB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0DA2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主管部门</w:t>
            </w:r>
          </w:p>
        </w:tc>
        <w:tc>
          <w:tcPr>
            <w:tcW w:w="45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85B2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岳阳市生态环境局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85928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实施单位</w:t>
            </w:r>
          </w:p>
        </w:tc>
        <w:tc>
          <w:tcPr>
            <w:tcW w:w="31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C20E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岳阳市生态环境局平江分局</w:t>
            </w:r>
          </w:p>
        </w:tc>
      </w:tr>
      <w:tr w14:paraId="34F0DC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C983D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项目资金</w:t>
            </w: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（万元）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3B03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　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3BA8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年初</w:t>
            </w:r>
          </w:p>
          <w:p w14:paraId="50C70B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预算数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439D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全年</w:t>
            </w:r>
          </w:p>
          <w:p w14:paraId="277CAB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预算数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83E5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  <w:t>全年</w:t>
            </w:r>
          </w:p>
          <w:p w14:paraId="79387D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  <w:t>执行数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DE56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  <w:t>分值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996F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  <w:t>执行率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0EDE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  <w:t>得分</w:t>
            </w:r>
          </w:p>
        </w:tc>
      </w:tr>
      <w:tr w14:paraId="6D047B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22FFF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B93E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年度资金总额　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AD2C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default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  <w:t>148.29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E735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　</w:t>
            </w:r>
            <w:r>
              <w:rPr>
                <w:rFonts w:hint="default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  <w:t>148.29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30D6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　</w:t>
            </w:r>
            <w:r>
              <w:rPr>
                <w:rFonts w:hint="default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  <w:t>148.29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EE5E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　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B70A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F7DE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</w:tr>
      <w:tr w14:paraId="1BA58C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EDBA1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DFD1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其中：当年财政拨款　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DB2C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default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  <w:t>148.29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ADBE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　</w:t>
            </w:r>
            <w:r>
              <w:rPr>
                <w:rFonts w:hint="default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  <w:t>148.29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0D23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　</w:t>
            </w:r>
            <w:r>
              <w:rPr>
                <w:rFonts w:hint="default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  <w:t>148.29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8D14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12A0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76A8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　</w:t>
            </w:r>
          </w:p>
        </w:tc>
      </w:tr>
      <w:tr w14:paraId="33B369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C91DC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5E57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600" w:firstLineChars="300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上年结转资金　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426A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0443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12CE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1B60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A9C8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C176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　</w:t>
            </w:r>
          </w:p>
        </w:tc>
      </w:tr>
      <w:tr w14:paraId="500091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6B270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4017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600" w:firstLineChars="300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其他资金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3165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BBC8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7AFF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A79C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D86D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B949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　</w:t>
            </w:r>
          </w:p>
        </w:tc>
      </w:tr>
      <w:tr w14:paraId="374868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4725E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年度总体目标</w:t>
            </w:r>
          </w:p>
        </w:tc>
        <w:tc>
          <w:tcPr>
            <w:tcW w:w="45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5DE65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预期目标</w:t>
            </w:r>
          </w:p>
        </w:tc>
        <w:tc>
          <w:tcPr>
            <w:tcW w:w="425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7468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实际完成情况　</w:t>
            </w:r>
          </w:p>
        </w:tc>
      </w:tr>
      <w:tr w14:paraId="30D418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97AEC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45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F3D2D1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1、</w:t>
            </w: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按期开展常规监测和水质监测环境监测：</w:t>
            </w:r>
          </w:p>
          <w:p w14:paraId="1D8DB3B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2、环境监察执法，信访纠纷、水、土、气、固废等监管工作正常运行；</w:t>
            </w:r>
          </w:p>
          <w:p w14:paraId="17C9411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3、确保中央省市等环保督察、污染防治攻坚战、利剑行动、夏季攻势、环保应急处置等任务完成；</w:t>
            </w:r>
          </w:p>
          <w:p w14:paraId="046C1F5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4、环保科技推广、六五环境日宣传、生态环境等宣传开展，提高群众环保认识；</w:t>
            </w:r>
          </w:p>
          <w:p w14:paraId="7E839B1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5、确保国家重点生态功能区考核达标。</w:t>
            </w:r>
          </w:p>
        </w:tc>
        <w:tc>
          <w:tcPr>
            <w:tcW w:w="425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B2067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圆满</w:t>
            </w: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完成</w:t>
            </w:r>
          </w:p>
        </w:tc>
      </w:tr>
      <w:tr w14:paraId="6EDA7C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4E7EB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绩</w:t>
            </w:r>
          </w:p>
          <w:p w14:paraId="043946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效</w:t>
            </w:r>
          </w:p>
          <w:p w14:paraId="6780E5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指</w:t>
            </w:r>
          </w:p>
          <w:p w14:paraId="5DD06D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A108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一级指标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17A1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二级指标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E4E9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三级指标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EA23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年度</w:t>
            </w:r>
          </w:p>
          <w:p w14:paraId="45690B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指标值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5CC2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实际</w:t>
            </w:r>
          </w:p>
          <w:p w14:paraId="26F7C6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完成值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7744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分值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CC79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得分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2FE8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偏差原因分析及改进措施</w:t>
            </w:r>
          </w:p>
        </w:tc>
      </w:tr>
      <w:tr w14:paraId="611F0D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F9FED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8A1D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产出指标</w:t>
            </w:r>
          </w:p>
          <w:p w14:paraId="36BCFF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</w:p>
          <w:p w14:paraId="414313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(50分)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F9497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数量指标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3732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强力开展各项专项行动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C635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11次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0312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28次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F5AC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8405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40DA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无偏差</w:t>
            </w:r>
          </w:p>
        </w:tc>
      </w:tr>
      <w:tr w14:paraId="6DC1C3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C28CF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880B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7A8E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质量指标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D345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全县环境质量达标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7EC0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≥90%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55FD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93.4</w:t>
            </w:r>
            <w:r>
              <w:rPr>
                <w:rFonts w:hint="default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%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E118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7F2E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5FAB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无偏差</w:t>
            </w:r>
          </w:p>
        </w:tc>
      </w:tr>
      <w:tr w14:paraId="653434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5F73C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ED3B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DF38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时效指标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354E2B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在规定时间内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372888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2025年度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921F66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2025年度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2DBB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187E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57A6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无偏差</w:t>
            </w:r>
          </w:p>
        </w:tc>
      </w:tr>
      <w:tr w14:paraId="60DCD8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F1915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2D9E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9BBF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成本指标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8D0B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在预算内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8D2B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  <w:t>≤</w:t>
            </w:r>
            <w:r>
              <w:rPr>
                <w:rFonts w:hint="default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  <w:t>148.29</w:t>
            </w: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万元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AEAF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default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  <w:t>148.29</w:t>
            </w: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万元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C882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20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BCEF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20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3EC4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无偏差</w:t>
            </w:r>
          </w:p>
        </w:tc>
      </w:tr>
      <w:tr w14:paraId="760018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FB902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ED10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效益指标</w:t>
            </w:r>
          </w:p>
          <w:p w14:paraId="4E39FA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</w:p>
          <w:p w14:paraId="118F05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（30分）</w:t>
            </w:r>
          </w:p>
          <w:p w14:paraId="3ADF79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　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D44A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经济效</w:t>
            </w:r>
          </w:p>
          <w:p w14:paraId="4A4C97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益指标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9D4C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促进经济发展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15E0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经济平稳发展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CBB1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经济平稳发展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642D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F8FE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F6EF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无偏差</w:t>
            </w:r>
          </w:p>
        </w:tc>
      </w:tr>
      <w:tr w14:paraId="47F146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1E0D6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3042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F6F6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社会效</w:t>
            </w:r>
          </w:p>
          <w:p w14:paraId="2152AC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益指标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4D24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改善居民生产、生活环境，提高幸福生活指数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41A8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有所改善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B121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有所改善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25B8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50DC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5B36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无偏差</w:t>
            </w:r>
          </w:p>
        </w:tc>
      </w:tr>
      <w:tr w14:paraId="353939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4C86C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6EB9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7090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生态效</w:t>
            </w:r>
          </w:p>
          <w:p w14:paraId="00CF9A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益指标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DF32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治理重点污染企业，环境空气优良率达到90%以上。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FDFC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≥90%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DE1F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93.4</w:t>
            </w:r>
            <w:r>
              <w:rPr>
                <w:rFonts w:hint="default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%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A1F3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836F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4841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无偏差</w:t>
            </w:r>
          </w:p>
        </w:tc>
      </w:tr>
      <w:tr w14:paraId="718830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94532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1069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F6A0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可持续影响指标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79EC87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绿色发展稳步推进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FA8C0E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稳步推进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7CBEB7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稳步推进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4F3C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DADF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C801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无偏差</w:t>
            </w:r>
          </w:p>
        </w:tc>
      </w:tr>
      <w:tr w14:paraId="01D082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66187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26B7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满意度</w:t>
            </w:r>
          </w:p>
          <w:p w14:paraId="36F60D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指标</w:t>
            </w:r>
          </w:p>
          <w:p w14:paraId="7A7E36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（10分）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C5CE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服务对象满意度指标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C4C1FD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服务对象满意度指标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5496BC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≥95%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877563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95</w:t>
            </w: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%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13EF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EAF6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AA18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无偏差</w:t>
            </w:r>
          </w:p>
        </w:tc>
      </w:tr>
      <w:tr w14:paraId="323FF8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3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6C75C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总分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894A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100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415C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　</w:t>
            </w: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5A19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</w:p>
        </w:tc>
      </w:tr>
    </w:tbl>
    <w:p w14:paraId="7DC80342">
      <w:pPr>
        <w:widowControl w:val="0"/>
        <w:kinsoku/>
        <w:autoSpaceDE/>
        <w:autoSpaceDN/>
        <w:adjustRightInd/>
        <w:snapToGrid/>
        <w:spacing w:line="240" w:lineRule="auto"/>
        <w:jc w:val="both"/>
        <w:textAlignment w:val="auto"/>
        <w:rPr>
          <w:rFonts w:hint="default" w:ascii="黑体" w:hAnsi="黑体" w:eastAsia="黑体" w:cs="黑体"/>
          <w:snapToGrid/>
          <w:kern w:val="2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/>
          <w:kern w:val="2"/>
          <w:sz w:val="18"/>
          <w:szCs w:val="18"/>
          <w:highlight w:val="none"/>
          <w:lang w:eastAsia="zh-CN"/>
        </w:rPr>
        <w:t>备注：一个一级项目支出一张表。</w:t>
      </w:r>
      <w:r>
        <w:rPr>
          <w:rFonts w:hint="eastAsia" w:ascii="Times New Roman" w:hAnsi="Times New Roman" w:eastAsia="仿宋_GB2312" w:cs="Times New Roman"/>
          <w:snapToGrid/>
          <w:kern w:val="2"/>
          <w:sz w:val="18"/>
          <w:szCs w:val="18"/>
          <w:highlight w:val="none"/>
          <w:lang w:eastAsia="zh-CN"/>
        </w:rPr>
        <w:t>如，</w:t>
      </w:r>
      <w:r>
        <w:rPr>
          <w:rFonts w:hint="default" w:ascii="Times New Roman" w:hAnsi="Times New Roman" w:eastAsia="仿宋_GB2312" w:cs="Times New Roman"/>
          <w:snapToGrid/>
          <w:kern w:val="2"/>
          <w:sz w:val="18"/>
          <w:szCs w:val="18"/>
          <w:highlight w:val="none"/>
          <w:lang w:eastAsia="zh-CN"/>
        </w:rPr>
        <w:t>业务工作经费</w:t>
      </w:r>
      <w:r>
        <w:rPr>
          <w:rFonts w:hint="eastAsia" w:ascii="Times New Roman" w:hAnsi="Times New Roman" w:eastAsia="仿宋_GB2312" w:cs="Times New Roman"/>
          <w:snapToGrid/>
          <w:kern w:val="2"/>
          <w:sz w:val="18"/>
          <w:szCs w:val="18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snapToGrid/>
          <w:kern w:val="2"/>
          <w:sz w:val="18"/>
          <w:szCs w:val="18"/>
          <w:highlight w:val="none"/>
          <w:lang w:eastAsia="zh-CN"/>
        </w:rPr>
        <w:t>运行维护经费</w:t>
      </w:r>
      <w:r>
        <w:rPr>
          <w:rFonts w:hint="eastAsia" w:ascii="Times New Roman" w:hAnsi="Times New Roman" w:eastAsia="仿宋_GB2312" w:cs="Times New Roman"/>
          <w:snapToGrid/>
          <w:kern w:val="2"/>
          <w:sz w:val="18"/>
          <w:szCs w:val="18"/>
          <w:highlight w:val="none"/>
          <w:lang w:eastAsia="zh-CN"/>
        </w:rPr>
        <w:t>，其他事业发展类资金…各一张表。</w:t>
      </w:r>
      <w:r>
        <w:rPr>
          <w:rFonts w:hint="default" w:ascii="Times New Roman" w:hAnsi="Times New Roman" w:eastAsia="仿宋_GB2312" w:cs="Times New Roman"/>
          <w:snapToGrid/>
          <w:kern w:val="2"/>
          <w:sz w:val="22"/>
          <w:szCs w:val="22"/>
          <w:highlight w:val="none"/>
          <w:lang w:eastAsia="zh-CN"/>
        </w:rPr>
        <w:t xml:space="preserve">填表人：       </w:t>
      </w:r>
      <w:r>
        <w:rPr>
          <w:rFonts w:hint="eastAsia" w:ascii="Times New Roman" w:hAnsi="Times New Roman" w:eastAsia="仿宋_GB2312" w:cs="Times New Roman"/>
          <w:snapToGrid/>
          <w:kern w:val="2"/>
          <w:sz w:val="22"/>
          <w:szCs w:val="2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napToGrid/>
          <w:kern w:val="2"/>
          <w:sz w:val="22"/>
          <w:szCs w:val="22"/>
          <w:highlight w:val="none"/>
          <w:lang w:eastAsia="zh-CN"/>
        </w:rPr>
        <w:t xml:space="preserve">填报日期：     </w:t>
      </w:r>
      <w:r>
        <w:rPr>
          <w:rFonts w:hint="eastAsia" w:ascii="Times New Roman" w:hAnsi="Times New Roman" w:eastAsia="仿宋_GB2312" w:cs="Times New Roman"/>
          <w:snapToGrid/>
          <w:kern w:val="2"/>
          <w:sz w:val="22"/>
          <w:szCs w:val="22"/>
          <w:highlight w:val="none"/>
          <w:lang w:val="en-US" w:eastAsia="zh-CN"/>
        </w:rPr>
        <w:t xml:space="preserve">      </w:t>
      </w:r>
      <w:r>
        <w:rPr>
          <w:rFonts w:hint="default" w:ascii="Times New Roman" w:hAnsi="Times New Roman" w:eastAsia="仿宋_GB2312" w:cs="Times New Roman"/>
          <w:snapToGrid/>
          <w:kern w:val="2"/>
          <w:sz w:val="22"/>
          <w:szCs w:val="22"/>
          <w:highlight w:val="none"/>
          <w:lang w:eastAsia="zh-CN"/>
        </w:rPr>
        <w:t xml:space="preserve">联系电话：   </w:t>
      </w:r>
      <w:r>
        <w:rPr>
          <w:rFonts w:hint="eastAsia" w:ascii="Times New Roman" w:hAnsi="Times New Roman" w:eastAsia="仿宋_GB2312" w:cs="Times New Roman"/>
          <w:snapToGrid/>
          <w:kern w:val="2"/>
          <w:sz w:val="22"/>
          <w:szCs w:val="22"/>
          <w:highlight w:val="none"/>
          <w:lang w:val="en-US" w:eastAsia="zh-CN"/>
        </w:rPr>
        <w:t xml:space="preserve">         </w:t>
      </w:r>
      <w:r>
        <w:rPr>
          <w:rFonts w:hint="default" w:ascii="Times New Roman" w:hAnsi="Times New Roman" w:eastAsia="仿宋_GB2312" w:cs="Times New Roman"/>
          <w:snapToGrid/>
          <w:kern w:val="2"/>
          <w:sz w:val="22"/>
          <w:szCs w:val="22"/>
          <w:highlight w:val="none"/>
          <w:lang w:eastAsia="zh-CN"/>
        </w:rPr>
        <w:t xml:space="preserve"> 单位负责人签字：</w:t>
      </w:r>
      <w:r>
        <w:rPr>
          <w:rFonts w:hint="default" w:ascii="Times New Roman" w:hAnsi="Times New Roman" w:eastAsia="仿宋_GB2312" w:cs="Times New Roman"/>
          <w:snapToGrid/>
          <w:kern w:val="2"/>
          <w:sz w:val="22"/>
          <w:szCs w:val="22"/>
          <w:highlight w:val="none"/>
          <w:lang w:eastAsia="zh-CN"/>
        </w:rPr>
        <w:br w:type="page"/>
      </w:r>
      <w:r>
        <w:rPr>
          <w:rFonts w:hint="eastAsia" w:ascii="黑体" w:hAnsi="黑体" w:eastAsia="黑体" w:cs="黑体"/>
          <w:snapToGrid/>
          <w:kern w:val="2"/>
          <w:sz w:val="32"/>
          <w:szCs w:val="32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snapToGrid/>
          <w:kern w:val="2"/>
          <w:sz w:val="32"/>
          <w:szCs w:val="32"/>
          <w:highlight w:val="none"/>
          <w:lang w:val="en-US" w:eastAsia="zh-CN"/>
        </w:rPr>
        <w:t>3-2</w:t>
      </w:r>
    </w:p>
    <w:p w14:paraId="7ACBD91D">
      <w:pPr>
        <w:widowControl/>
        <w:kinsoku/>
        <w:autoSpaceDE/>
        <w:autoSpaceDN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napToGrid/>
          <w:color w:val="000000"/>
          <w:kern w:val="2"/>
          <w:sz w:val="36"/>
          <w:szCs w:val="36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napToGrid/>
          <w:color w:val="000000"/>
          <w:kern w:val="2"/>
          <w:sz w:val="36"/>
          <w:szCs w:val="36"/>
          <w:highlight w:val="none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snapToGrid/>
          <w:color w:val="000000"/>
          <w:kern w:val="2"/>
          <w:sz w:val="36"/>
          <w:szCs w:val="36"/>
          <w:highlight w:val="none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napToGrid/>
          <w:color w:val="000000"/>
          <w:kern w:val="2"/>
          <w:sz w:val="36"/>
          <w:szCs w:val="36"/>
          <w:highlight w:val="none"/>
          <w:lang w:eastAsia="zh-CN"/>
        </w:rPr>
        <w:t>年度项目支出绩效自评表</w:t>
      </w:r>
    </w:p>
    <w:tbl>
      <w:tblPr>
        <w:tblStyle w:val="3"/>
        <w:tblW w:w="985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080"/>
        <w:gridCol w:w="1224"/>
        <w:gridCol w:w="1134"/>
        <w:gridCol w:w="1134"/>
        <w:gridCol w:w="828"/>
        <w:gridCol w:w="873"/>
        <w:gridCol w:w="1418"/>
      </w:tblGrid>
      <w:tr w14:paraId="5B4BE2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586B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项目支</w:t>
            </w:r>
          </w:p>
          <w:p w14:paraId="331601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出名称</w:t>
            </w:r>
          </w:p>
        </w:tc>
        <w:tc>
          <w:tcPr>
            <w:tcW w:w="877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081A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  <w:t>县财政-县重点流域河流排污口排查整治</w:t>
            </w: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　</w:t>
            </w:r>
          </w:p>
        </w:tc>
      </w:tr>
      <w:tr w14:paraId="08EC57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BF44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主管部门</w:t>
            </w:r>
          </w:p>
        </w:tc>
        <w:tc>
          <w:tcPr>
            <w:tcW w:w="45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3B5D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bookmarkStart w:id="0" w:name="_GoBack"/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岳阳市生态环境局</w:t>
            </w:r>
            <w:bookmarkEnd w:id="0"/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8EC77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实施单位</w:t>
            </w:r>
          </w:p>
        </w:tc>
        <w:tc>
          <w:tcPr>
            <w:tcW w:w="31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860B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岳阳市生态环境局平江分局</w:t>
            </w:r>
          </w:p>
        </w:tc>
      </w:tr>
      <w:tr w14:paraId="388E67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C9C00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项目资金</w:t>
            </w: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（万元）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2D03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　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D2A8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年初</w:t>
            </w:r>
          </w:p>
          <w:p w14:paraId="61CCB3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预算数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240E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全年</w:t>
            </w:r>
          </w:p>
          <w:p w14:paraId="4E0930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预算数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0E16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  <w:t>全年</w:t>
            </w:r>
          </w:p>
          <w:p w14:paraId="157412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  <w:t>执行数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79B3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  <w:t>分值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85F9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  <w:t>执行率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3E5D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  <w:t>得分</w:t>
            </w:r>
          </w:p>
        </w:tc>
      </w:tr>
      <w:tr w14:paraId="045CAA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66D4F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3866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年度资金总额　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8C12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9CBD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　</w:t>
            </w: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  <w:t>250.67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01D7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　</w:t>
            </w: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  <w:t>250.67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DBA5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　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8767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3ECD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</w:tr>
      <w:tr w14:paraId="30B8DA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CBA5B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6F04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其中：当年财政拨款　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C495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3E2C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7C86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05AB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A96C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4A7A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　</w:t>
            </w:r>
          </w:p>
        </w:tc>
      </w:tr>
      <w:tr w14:paraId="72037D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CE212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15D0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600" w:firstLineChars="300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上年结转资金　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37E8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FE5A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E38C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5026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047E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BAD8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　</w:t>
            </w:r>
          </w:p>
        </w:tc>
      </w:tr>
      <w:tr w14:paraId="099F06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F4901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7F41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600" w:firstLineChars="300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其他资金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56B3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40C2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  <w:t>250.67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1D29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  <w:t>250.67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FDEA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935B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87D5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　</w:t>
            </w:r>
          </w:p>
        </w:tc>
      </w:tr>
      <w:tr w14:paraId="2AFDD3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B6169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年度总体目标</w:t>
            </w:r>
          </w:p>
        </w:tc>
        <w:tc>
          <w:tcPr>
            <w:tcW w:w="45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58E95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预期目标</w:t>
            </w:r>
          </w:p>
        </w:tc>
        <w:tc>
          <w:tcPr>
            <w:tcW w:w="425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EE04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实际完成情况　</w:t>
            </w:r>
          </w:p>
        </w:tc>
      </w:tr>
      <w:tr w14:paraId="21DF85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018CC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45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ED22E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目标1、日常环境监管、执法工作；</w:t>
            </w:r>
          </w:p>
          <w:p w14:paraId="19B8B5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目标2、定期进行水质监测；</w:t>
            </w:r>
          </w:p>
          <w:p w14:paraId="70BBD42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目标3、环保迎检、应急处置经费；</w:t>
            </w:r>
          </w:p>
        </w:tc>
        <w:tc>
          <w:tcPr>
            <w:tcW w:w="425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7A329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圆满</w:t>
            </w: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完成</w:t>
            </w:r>
          </w:p>
        </w:tc>
      </w:tr>
      <w:tr w14:paraId="260054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2F0AC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绩</w:t>
            </w:r>
          </w:p>
          <w:p w14:paraId="6F0692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效</w:t>
            </w:r>
          </w:p>
          <w:p w14:paraId="2980A7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指</w:t>
            </w:r>
          </w:p>
          <w:p w14:paraId="2E08CC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459A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一级指标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16CB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二级指标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BED2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三级指标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03F0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年度</w:t>
            </w:r>
          </w:p>
          <w:p w14:paraId="5EB369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指标值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3B61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实际</w:t>
            </w:r>
          </w:p>
          <w:p w14:paraId="798A2D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完成值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5273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分值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BA2D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得分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FBC9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偏差原因分析及改进措施</w:t>
            </w:r>
          </w:p>
        </w:tc>
      </w:tr>
      <w:tr w14:paraId="402477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FD461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AB98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产出指标</w:t>
            </w:r>
          </w:p>
          <w:p w14:paraId="69B0B1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</w:p>
          <w:p w14:paraId="029CAB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(50分)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4ACF4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数量指标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1E2F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定期进行水质监测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2A4B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12次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CB69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12次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4B31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B931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F0A2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无偏差</w:t>
            </w:r>
          </w:p>
        </w:tc>
      </w:tr>
      <w:tr w14:paraId="42FD6B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B43F1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D322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9556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质量指标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ADE8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断面水质达标率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864F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6ABA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E479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6804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4341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无偏差</w:t>
            </w:r>
          </w:p>
        </w:tc>
      </w:tr>
      <w:tr w14:paraId="5432D4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34699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01EA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3981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时效指标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01F06F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在规定时间内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1666EA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2025年度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2ABFAB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2025年度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C008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80B9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E7AB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无偏差</w:t>
            </w:r>
          </w:p>
        </w:tc>
      </w:tr>
      <w:tr w14:paraId="6F0954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3E7E2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03BF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1ED1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成本指标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415D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在预算内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2E97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  <w:t>≤250.67</w:t>
            </w: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万元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5F9E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val="en-US" w:eastAsia="zh-CN"/>
              </w:rPr>
              <w:t>250.67</w:t>
            </w: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万元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2ABE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20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1B78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20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280D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无偏差</w:t>
            </w:r>
          </w:p>
        </w:tc>
      </w:tr>
      <w:tr w14:paraId="5B388D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EE439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0DCE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效益指标</w:t>
            </w:r>
          </w:p>
          <w:p w14:paraId="42EEB1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</w:p>
          <w:p w14:paraId="3B2755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（30分）</w:t>
            </w:r>
          </w:p>
          <w:p w14:paraId="0A5D0F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　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E055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经济效</w:t>
            </w:r>
          </w:p>
          <w:p w14:paraId="4BC4BF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益指标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C744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促进经济发展，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实现节能减排，减少环保治理经费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D41B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经济平稳发展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F659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经济平稳发展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7331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FCD0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CAA0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无偏差</w:t>
            </w:r>
          </w:p>
        </w:tc>
      </w:tr>
      <w:tr w14:paraId="49C396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A4B70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1455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5EEA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社会效</w:t>
            </w:r>
          </w:p>
          <w:p w14:paraId="7CE75C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益指标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FCE0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提升环保意识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E251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有所提升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D5CF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有所提升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AD91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84BD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2F7A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无偏差</w:t>
            </w:r>
          </w:p>
        </w:tc>
      </w:tr>
      <w:tr w14:paraId="14CB23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B2B35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8012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07F5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生态效</w:t>
            </w:r>
          </w:p>
          <w:p w14:paraId="67F336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益指标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5647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生态环境考核达标率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0719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达标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A359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达标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E35E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BFF8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EB4E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无偏差</w:t>
            </w:r>
          </w:p>
        </w:tc>
      </w:tr>
      <w:tr w14:paraId="5A616A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E0C22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59F5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6676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可持续影响指标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E00FED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绿色发展稳步推进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EE0E57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稳步推进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73018C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稳步推进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761E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8854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5D1B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无偏差</w:t>
            </w:r>
          </w:p>
        </w:tc>
      </w:tr>
      <w:tr w14:paraId="3E0E94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B0C08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F8CD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满意度</w:t>
            </w:r>
          </w:p>
          <w:p w14:paraId="5F9F95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指标</w:t>
            </w:r>
          </w:p>
          <w:p w14:paraId="210078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（10分）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896E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服务对象满意度指标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430148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服务对象满意度指标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A39410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≥95%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94A849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95</w:t>
            </w: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%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B022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FAE2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60F5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无偏差</w:t>
            </w:r>
          </w:p>
        </w:tc>
      </w:tr>
      <w:tr w14:paraId="22F271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3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91FE9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总分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B1DF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100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A1FE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　</w:t>
            </w: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178B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</w:pPr>
          </w:p>
        </w:tc>
      </w:tr>
    </w:tbl>
    <w:p w14:paraId="5B04BDFC">
      <w:pPr>
        <w:widowControl w:val="0"/>
        <w:kinsoku/>
        <w:autoSpaceDE/>
        <w:autoSpaceDN/>
        <w:adjustRightInd/>
        <w:snapToGrid/>
        <w:spacing w:line="240" w:lineRule="auto"/>
        <w:jc w:val="both"/>
        <w:textAlignment w:val="auto"/>
        <w:rPr>
          <w:rFonts w:hint="eastAsia" w:ascii="Times New Roman" w:hAnsi="Times New Roman" w:eastAsia="仿宋_GB2312" w:cs="Times New Roman"/>
          <w:snapToGrid/>
          <w:kern w:val="2"/>
          <w:sz w:val="18"/>
          <w:szCs w:val="18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kern w:val="2"/>
          <w:sz w:val="18"/>
          <w:szCs w:val="18"/>
          <w:highlight w:val="none"/>
          <w:lang w:eastAsia="zh-CN"/>
        </w:rPr>
        <w:t>备注：一个一级项目支出一张表。</w:t>
      </w:r>
      <w:r>
        <w:rPr>
          <w:rFonts w:hint="eastAsia" w:ascii="Times New Roman" w:hAnsi="Times New Roman" w:eastAsia="仿宋_GB2312" w:cs="Times New Roman"/>
          <w:snapToGrid/>
          <w:kern w:val="2"/>
          <w:sz w:val="18"/>
          <w:szCs w:val="18"/>
          <w:highlight w:val="none"/>
          <w:lang w:eastAsia="zh-CN"/>
        </w:rPr>
        <w:t>如，</w:t>
      </w:r>
      <w:r>
        <w:rPr>
          <w:rFonts w:hint="default" w:ascii="Times New Roman" w:hAnsi="Times New Roman" w:eastAsia="仿宋_GB2312" w:cs="Times New Roman"/>
          <w:snapToGrid/>
          <w:kern w:val="2"/>
          <w:sz w:val="18"/>
          <w:szCs w:val="18"/>
          <w:highlight w:val="none"/>
          <w:lang w:eastAsia="zh-CN"/>
        </w:rPr>
        <w:t>业务工作经费</w:t>
      </w:r>
      <w:r>
        <w:rPr>
          <w:rFonts w:hint="eastAsia" w:ascii="Times New Roman" w:hAnsi="Times New Roman" w:eastAsia="仿宋_GB2312" w:cs="Times New Roman"/>
          <w:snapToGrid/>
          <w:kern w:val="2"/>
          <w:sz w:val="18"/>
          <w:szCs w:val="18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snapToGrid/>
          <w:kern w:val="2"/>
          <w:sz w:val="18"/>
          <w:szCs w:val="18"/>
          <w:highlight w:val="none"/>
          <w:lang w:eastAsia="zh-CN"/>
        </w:rPr>
        <w:t>运行维护经费</w:t>
      </w:r>
      <w:r>
        <w:rPr>
          <w:rFonts w:hint="eastAsia" w:ascii="Times New Roman" w:hAnsi="Times New Roman" w:eastAsia="仿宋_GB2312" w:cs="Times New Roman"/>
          <w:snapToGrid/>
          <w:kern w:val="2"/>
          <w:sz w:val="18"/>
          <w:szCs w:val="18"/>
          <w:highlight w:val="none"/>
          <w:lang w:eastAsia="zh-CN"/>
        </w:rPr>
        <w:t>，其他事业发展类资金…各一张表。</w:t>
      </w:r>
    </w:p>
    <w:p w14:paraId="6C301AE2">
      <w:pPr>
        <w:widowControl w:val="0"/>
        <w:kinsoku/>
        <w:autoSpaceDE/>
        <w:autoSpaceDN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eastAsia="仿宋_GB2312" w:cs="Times New Roman"/>
          <w:snapToGrid/>
          <w:kern w:val="2"/>
          <w:sz w:val="18"/>
          <w:szCs w:val="18"/>
          <w:highlight w:val="none"/>
          <w:lang w:eastAsia="zh-CN"/>
        </w:rPr>
      </w:pPr>
    </w:p>
    <w:p w14:paraId="081C25D4">
      <w:pPr>
        <w:spacing w:before="162" w:line="230" w:lineRule="auto"/>
        <w:ind w:left="44"/>
        <w:rPr>
          <w:rFonts w:ascii="黑体" w:hAnsi="黑体" w:eastAsia="黑体" w:cs="黑体"/>
          <w:sz w:val="31"/>
          <w:szCs w:val="31"/>
        </w:rPr>
      </w:pPr>
      <w:r>
        <w:rPr>
          <w:rFonts w:hint="default" w:ascii="Times New Roman" w:hAnsi="Times New Roman" w:eastAsia="仿宋_GB2312" w:cs="Times New Roman"/>
          <w:snapToGrid/>
          <w:kern w:val="2"/>
          <w:sz w:val="22"/>
          <w:szCs w:val="22"/>
          <w:highlight w:val="none"/>
          <w:lang w:eastAsia="zh-CN"/>
        </w:rPr>
        <w:t xml:space="preserve">填表人：       </w:t>
      </w:r>
      <w:r>
        <w:rPr>
          <w:rFonts w:hint="eastAsia" w:ascii="Times New Roman" w:hAnsi="Times New Roman" w:eastAsia="仿宋_GB2312" w:cs="Times New Roman"/>
          <w:snapToGrid/>
          <w:kern w:val="2"/>
          <w:sz w:val="22"/>
          <w:szCs w:val="2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napToGrid/>
          <w:kern w:val="2"/>
          <w:sz w:val="22"/>
          <w:szCs w:val="22"/>
          <w:highlight w:val="none"/>
          <w:lang w:eastAsia="zh-CN"/>
        </w:rPr>
        <w:t xml:space="preserve">填报日期：     </w:t>
      </w:r>
      <w:r>
        <w:rPr>
          <w:rFonts w:hint="eastAsia" w:ascii="Times New Roman" w:hAnsi="Times New Roman" w:eastAsia="仿宋_GB2312" w:cs="Times New Roman"/>
          <w:snapToGrid/>
          <w:kern w:val="2"/>
          <w:sz w:val="22"/>
          <w:szCs w:val="22"/>
          <w:highlight w:val="none"/>
          <w:lang w:val="en-US" w:eastAsia="zh-CN"/>
        </w:rPr>
        <w:t xml:space="preserve">      </w:t>
      </w:r>
      <w:r>
        <w:rPr>
          <w:rFonts w:hint="default" w:ascii="Times New Roman" w:hAnsi="Times New Roman" w:eastAsia="仿宋_GB2312" w:cs="Times New Roman"/>
          <w:snapToGrid/>
          <w:kern w:val="2"/>
          <w:sz w:val="22"/>
          <w:szCs w:val="22"/>
          <w:highlight w:val="none"/>
          <w:lang w:eastAsia="zh-CN"/>
        </w:rPr>
        <w:t xml:space="preserve">联系电话：   </w:t>
      </w:r>
      <w:r>
        <w:rPr>
          <w:rFonts w:hint="eastAsia" w:ascii="Times New Roman" w:hAnsi="Times New Roman" w:eastAsia="仿宋_GB2312" w:cs="Times New Roman"/>
          <w:snapToGrid/>
          <w:kern w:val="2"/>
          <w:sz w:val="22"/>
          <w:szCs w:val="22"/>
          <w:highlight w:val="none"/>
          <w:lang w:val="en-US" w:eastAsia="zh-CN"/>
        </w:rPr>
        <w:t xml:space="preserve">         </w:t>
      </w:r>
      <w:r>
        <w:rPr>
          <w:rFonts w:hint="default" w:ascii="Times New Roman" w:hAnsi="Times New Roman" w:eastAsia="仿宋_GB2312" w:cs="Times New Roman"/>
          <w:snapToGrid/>
          <w:kern w:val="2"/>
          <w:sz w:val="22"/>
          <w:szCs w:val="22"/>
          <w:highlight w:val="none"/>
          <w:lang w:eastAsia="zh-CN"/>
        </w:rPr>
        <w:t xml:space="preserve"> 单位负责人签字：</w:t>
      </w:r>
      <w:r>
        <w:rPr>
          <w:rFonts w:hint="default" w:ascii="Times New Roman" w:hAnsi="Times New Roman" w:eastAsia="仿宋_GB2312" w:cs="Times New Roman"/>
          <w:snapToGrid/>
          <w:kern w:val="2"/>
          <w:sz w:val="22"/>
          <w:szCs w:val="22"/>
          <w:highlight w:val="none"/>
          <w:lang w:eastAsia="zh-CN"/>
        </w:rPr>
        <w:br w:type="page"/>
      </w:r>
      <w:r>
        <w:rPr>
          <w:rFonts w:ascii="黑体" w:hAnsi="黑体" w:eastAsia="黑体" w:cs="黑体"/>
          <w:spacing w:val="24"/>
          <w:sz w:val="31"/>
          <w:szCs w:val="31"/>
        </w:rPr>
        <w:t>附件4</w:t>
      </w:r>
    </w:p>
    <w:p w14:paraId="65BCA21D">
      <w:pPr>
        <w:pStyle w:val="2"/>
        <w:spacing w:line="256" w:lineRule="auto"/>
      </w:pPr>
    </w:p>
    <w:p w14:paraId="14358CF0">
      <w:pPr>
        <w:pStyle w:val="2"/>
        <w:spacing w:line="256" w:lineRule="auto"/>
      </w:pPr>
    </w:p>
    <w:p w14:paraId="5DC82CEB">
      <w:pPr>
        <w:pStyle w:val="2"/>
        <w:spacing w:line="256" w:lineRule="auto"/>
      </w:pPr>
    </w:p>
    <w:p w14:paraId="2D1AD57F">
      <w:pPr>
        <w:spacing w:before="140" w:line="604" w:lineRule="exact"/>
        <w:ind w:left="599"/>
        <w:outlineLvl w:val="0"/>
        <w:rPr>
          <w:rFonts w:ascii="宋体" w:hAnsi="宋体" w:eastAsia="宋体" w:cs="宋体"/>
          <w:sz w:val="43"/>
          <w:szCs w:val="43"/>
        </w:rPr>
      </w:pPr>
      <w:r>
        <w:rPr>
          <w:rFonts w:hint="eastAsia" w:ascii="宋体" w:hAnsi="宋体" w:eastAsia="宋体" w:cs="宋体"/>
          <w:b/>
          <w:bCs/>
          <w:spacing w:val="3"/>
          <w:position w:val="3"/>
          <w:sz w:val="43"/>
          <w:szCs w:val="43"/>
          <w:lang w:eastAsia="zh-CN"/>
        </w:rPr>
        <w:t>202</w:t>
      </w:r>
      <w:r>
        <w:rPr>
          <w:rFonts w:hint="eastAsia" w:ascii="宋体" w:hAnsi="宋体" w:eastAsia="宋体" w:cs="宋体"/>
          <w:b/>
          <w:bCs/>
          <w:spacing w:val="3"/>
          <w:position w:val="3"/>
          <w:sz w:val="43"/>
          <w:szCs w:val="43"/>
          <w:lang w:val="en-US" w:eastAsia="zh-CN"/>
        </w:rPr>
        <w:t>5</w:t>
      </w:r>
      <w:r>
        <w:rPr>
          <w:rFonts w:ascii="宋体" w:hAnsi="宋体" w:eastAsia="宋体" w:cs="宋体"/>
          <w:b/>
          <w:bCs/>
          <w:spacing w:val="3"/>
          <w:position w:val="3"/>
          <w:sz w:val="43"/>
          <w:szCs w:val="43"/>
        </w:rPr>
        <w:t>年度岳阳市生态环境局平江分局</w:t>
      </w:r>
    </w:p>
    <w:p w14:paraId="72FE05C4">
      <w:pPr>
        <w:spacing w:before="351" w:line="219" w:lineRule="auto"/>
        <w:ind w:left="1977"/>
        <w:outlineLvl w:val="0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4"/>
          <w:sz w:val="43"/>
          <w:szCs w:val="43"/>
        </w:rPr>
        <w:t>整体支出绩效自评报告</w:t>
      </w:r>
    </w:p>
    <w:p w14:paraId="1C6904B1">
      <w:pPr>
        <w:pStyle w:val="2"/>
        <w:spacing w:line="246" w:lineRule="auto"/>
      </w:pPr>
    </w:p>
    <w:p w14:paraId="737D19E4">
      <w:pPr>
        <w:pStyle w:val="2"/>
        <w:spacing w:line="246" w:lineRule="auto"/>
      </w:pPr>
    </w:p>
    <w:p w14:paraId="6BAF3372">
      <w:pPr>
        <w:pStyle w:val="2"/>
        <w:spacing w:line="246" w:lineRule="auto"/>
      </w:pPr>
    </w:p>
    <w:p w14:paraId="04D4B8FE">
      <w:pPr>
        <w:pStyle w:val="2"/>
        <w:spacing w:line="246" w:lineRule="auto"/>
      </w:pPr>
    </w:p>
    <w:p w14:paraId="2D7AB9CF">
      <w:pPr>
        <w:pStyle w:val="2"/>
        <w:spacing w:line="246" w:lineRule="auto"/>
      </w:pPr>
    </w:p>
    <w:p w14:paraId="5E9E36B3">
      <w:pPr>
        <w:pStyle w:val="2"/>
        <w:spacing w:line="246" w:lineRule="auto"/>
      </w:pPr>
    </w:p>
    <w:p w14:paraId="262FDA37">
      <w:pPr>
        <w:pStyle w:val="2"/>
        <w:spacing w:line="246" w:lineRule="auto"/>
      </w:pPr>
    </w:p>
    <w:p w14:paraId="14E931A7">
      <w:pPr>
        <w:pStyle w:val="2"/>
        <w:spacing w:line="246" w:lineRule="auto"/>
      </w:pPr>
    </w:p>
    <w:p w14:paraId="01698D76">
      <w:pPr>
        <w:pStyle w:val="2"/>
        <w:spacing w:line="246" w:lineRule="auto"/>
      </w:pPr>
    </w:p>
    <w:p w14:paraId="56A370AB">
      <w:pPr>
        <w:pStyle w:val="2"/>
        <w:spacing w:line="246" w:lineRule="auto"/>
      </w:pPr>
    </w:p>
    <w:p w14:paraId="61E3149F">
      <w:pPr>
        <w:pStyle w:val="2"/>
        <w:spacing w:line="246" w:lineRule="auto"/>
      </w:pPr>
    </w:p>
    <w:p w14:paraId="7072FC83">
      <w:pPr>
        <w:pStyle w:val="2"/>
        <w:spacing w:line="246" w:lineRule="auto"/>
      </w:pPr>
    </w:p>
    <w:p w14:paraId="299D0125">
      <w:pPr>
        <w:pStyle w:val="2"/>
        <w:spacing w:line="246" w:lineRule="auto"/>
      </w:pPr>
    </w:p>
    <w:p w14:paraId="01D78E92">
      <w:pPr>
        <w:pStyle w:val="2"/>
        <w:spacing w:line="246" w:lineRule="auto"/>
      </w:pPr>
    </w:p>
    <w:p w14:paraId="0D3D48CB">
      <w:pPr>
        <w:pStyle w:val="2"/>
        <w:spacing w:line="246" w:lineRule="auto"/>
      </w:pPr>
    </w:p>
    <w:p w14:paraId="50BC3230">
      <w:pPr>
        <w:pStyle w:val="2"/>
        <w:spacing w:line="246" w:lineRule="auto"/>
      </w:pPr>
    </w:p>
    <w:p w14:paraId="41C5F67A">
      <w:pPr>
        <w:pStyle w:val="2"/>
        <w:spacing w:line="246" w:lineRule="auto"/>
      </w:pPr>
    </w:p>
    <w:p w14:paraId="2B25683F">
      <w:pPr>
        <w:pStyle w:val="2"/>
        <w:spacing w:line="246" w:lineRule="auto"/>
      </w:pPr>
    </w:p>
    <w:p w14:paraId="0A52A252">
      <w:pPr>
        <w:pStyle w:val="2"/>
        <w:spacing w:line="246" w:lineRule="auto"/>
      </w:pPr>
    </w:p>
    <w:p w14:paraId="4459D477">
      <w:pPr>
        <w:pStyle w:val="2"/>
        <w:spacing w:line="246" w:lineRule="auto"/>
      </w:pPr>
    </w:p>
    <w:p w14:paraId="12CE481A">
      <w:pPr>
        <w:pStyle w:val="2"/>
        <w:spacing w:line="246" w:lineRule="auto"/>
      </w:pPr>
    </w:p>
    <w:p w14:paraId="1D303701">
      <w:pPr>
        <w:pStyle w:val="2"/>
        <w:spacing w:line="246" w:lineRule="auto"/>
      </w:pPr>
    </w:p>
    <w:p w14:paraId="639062CE">
      <w:pPr>
        <w:pStyle w:val="2"/>
        <w:spacing w:line="246" w:lineRule="auto"/>
      </w:pPr>
    </w:p>
    <w:p w14:paraId="2722720F">
      <w:pPr>
        <w:pStyle w:val="2"/>
        <w:spacing w:line="246" w:lineRule="auto"/>
      </w:pPr>
    </w:p>
    <w:p w14:paraId="628CADF1">
      <w:pPr>
        <w:pStyle w:val="2"/>
        <w:spacing w:line="246" w:lineRule="auto"/>
      </w:pPr>
    </w:p>
    <w:p w14:paraId="732638B0">
      <w:pPr>
        <w:pStyle w:val="2"/>
        <w:spacing w:line="246" w:lineRule="auto"/>
      </w:pPr>
    </w:p>
    <w:p w14:paraId="7534528B">
      <w:pPr>
        <w:pStyle w:val="2"/>
        <w:spacing w:line="246" w:lineRule="auto"/>
      </w:pPr>
    </w:p>
    <w:p w14:paraId="190F3B42">
      <w:pPr>
        <w:pStyle w:val="2"/>
        <w:spacing w:line="246" w:lineRule="auto"/>
      </w:pPr>
    </w:p>
    <w:p w14:paraId="4CD0C366">
      <w:pPr>
        <w:pStyle w:val="2"/>
        <w:spacing w:line="246" w:lineRule="auto"/>
      </w:pPr>
    </w:p>
    <w:p w14:paraId="2FF4E65B">
      <w:pPr>
        <w:pStyle w:val="2"/>
        <w:spacing w:line="246" w:lineRule="auto"/>
      </w:pPr>
    </w:p>
    <w:p w14:paraId="1CD094F8">
      <w:pPr>
        <w:pStyle w:val="2"/>
        <w:spacing w:line="247" w:lineRule="auto"/>
      </w:pPr>
    </w:p>
    <w:p w14:paraId="562A4AE3">
      <w:pPr>
        <w:pStyle w:val="2"/>
        <w:spacing w:line="247" w:lineRule="auto"/>
      </w:pPr>
    </w:p>
    <w:p w14:paraId="07ECA2D2">
      <w:pPr>
        <w:pStyle w:val="2"/>
        <w:spacing w:line="247" w:lineRule="auto"/>
      </w:pPr>
    </w:p>
    <w:p w14:paraId="35D0F4AE">
      <w:pPr>
        <w:pStyle w:val="2"/>
        <w:spacing w:line="247" w:lineRule="auto"/>
      </w:pPr>
    </w:p>
    <w:p w14:paraId="4441888C">
      <w:pPr>
        <w:spacing w:before="101" w:line="221" w:lineRule="auto"/>
        <w:ind w:left="18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9"/>
          <w:sz w:val="31"/>
          <w:szCs w:val="31"/>
        </w:rPr>
        <w:t>部门（单位）名称：岳阳市生态环境局平江分局（盖章）</w:t>
      </w:r>
    </w:p>
    <w:p w14:paraId="79905493">
      <w:pPr>
        <w:spacing w:before="228" w:line="222" w:lineRule="auto"/>
        <w:ind w:left="3376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-8"/>
          <w:sz w:val="31"/>
          <w:szCs w:val="31"/>
        </w:rPr>
        <w:t>年</w:t>
      </w:r>
      <w:r>
        <w:rPr>
          <w:rFonts w:ascii="楷体" w:hAnsi="楷体" w:eastAsia="楷体" w:cs="楷体"/>
          <w:spacing w:val="21"/>
          <w:sz w:val="31"/>
          <w:szCs w:val="31"/>
        </w:rPr>
        <w:t xml:space="preserve">  </w:t>
      </w:r>
      <w:r>
        <w:rPr>
          <w:rFonts w:ascii="楷体" w:hAnsi="楷体" w:eastAsia="楷体" w:cs="楷体"/>
          <w:spacing w:val="-8"/>
          <w:sz w:val="31"/>
          <w:szCs w:val="31"/>
        </w:rPr>
        <w:t>月</w:t>
      </w:r>
      <w:r>
        <w:rPr>
          <w:rFonts w:ascii="楷体" w:hAnsi="楷体" w:eastAsia="楷体" w:cs="楷体"/>
          <w:spacing w:val="43"/>
          <w:sz w:val="31"/>
          <w:szCs w:val="31"/>
        </w:rPr>
        <w:t xml:space="preserve">  </w:t>
      </w:r>
      <w:r>
        <w:rPr>
          <w:rFonts w:ascii="楷体" w:hAnsi="楷体" w:eastAsia="楷体" w:cs="楷体"/>
          <w:spacing w:val="-8"/>
          <w:sz w:val="31"/>
          <w:szCs w:val="31"/>
        </w:rPr>
        <w:t>日</w:t>
      </w:r>
    </w:p>
    <w:p w14:paraId="071F2AE3">
      <w:pPr>
        <w:spacing w:before="175" w:line="224" w:lineRule="auto"/>
        <w:ind w:left="305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（此页为封面）</w:t>
      </w:r>
    </w:p>
    <w:p w14:paraId="37A16B60">
      <w:pPr>
        <w:spacing w:line="224" w:lineRule="auto"/>
        <w:rPr>
          <w:rFonts w:ascii="仿宋" w:hAnsi="仿宋" w:eastAsia="仿宋" w:cs="仿宋"/>
          <w:sz w:val="31"/>
          <w:szCs w:val="31"/>
        </w:rPr>
        <w:sectPr>
          <w:pgSz w:w="11906" w:h="16839"/>
          <w:pgMar w:top="1431" w:right="1785" w:bottom="1429" w:left="1785" w:header="0" w:footer="0" w:gutter="0"/>
          <w:cols w:space="720" w:num="1"/>
        </w:sectPr>
      </w:pPr>
    </w:p>
    <w:p w14:paraId="21B4258B">
      <w:pPr>
        <w:spacing w:before="213" w:line="604" w:lineRule="exact"/>
        <w:ind w:left="599"/>
        <w:rPr>
          <w:rFonts w:ascii="宋体" w:hAnsi="宋体" w:eastAsia="宋体" w:cs="宋体"/>
          <w:sz w:val="43"/>
          <w:szCs w:val="43"/>
        </w:rPr>
      </w:pPr>
      <w:r>
        <w:rPr>
          <w:rFonts w:hint="eastAsia" w:ascii="宋体" w:hAnsi="宋体" w:eastAsia="宋体" w:cs="宋体"/>
          <w:b/>
          <w:bCs/>
          <w:spacing w:val="3"/>
          <w:position w:val="3"/>
          <w:sz w:val="43"/>
          <w:szCs w:val="43"/>
          <w:lang w:eastAsia="zh-CN"/>
        </w:rPr>
        <w:t>202</w:t>
      </w:r>
      <w:r>
        <w:rPr>
          <w:rFonts w:hint="eastAsia" w:ascii="宋体" w:hAnsi="宋体" w:eastAsia="宋体" w:cs="宋体"/>
          <w:b/>
          <w:bCs/>
          <w:spacing w:val="3"/>
          <w:position w:val="3"/>
          <w:sz w:val="43"/>
          <w:szCs w:val="43"/>
          <w:lang w:val="en-US" w:eastAsia="zh-CN"/>
        </w:rPr>
        <w:t>5</w:t>
      </w:r>
      <w:r>
        <w:rPr>
          <w:rFonts w:ascii="宋体" w:hAnsi="宋体" w:eastAsia="宋体" w:cs="宋体"/>
          <w:b/>
          <w:bCs/>
          <w:spacing w:val="3"/>
          <w:position w:val="3"/>
          <w:sz w:val="43"/>
          <w:szCs w:val="43"/>
        </w:rPr>
        <w:t>年度岳阳市生态环境局平江分局</w:t>
      </w:r>
    </w:p>
    <w:p w14:paraId="3823F250">
      <w:pPr>
        <w:spacing w:before="351" w:line="219" w:lineRule="auto"/>
        <w:ind w:left="1977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4"/>
          <w:sz w:val="43"/>
          <w:szCs w:val="43"/>
        </w:rPr>
        <w:t>整体支出绩效自评报告</w:t>
      </w:r>
    </w:p>
    <w:p w14:paraId="573CDD98">
      <w:pPr>
        <w:pStyle w:val="2"/>
        <w:spacing w:line="243" w:lineRule="auto"/>
      </w:pPr>
    </w:p>
    <w:p w14:paraId="6ADA891A">
      <w:pPr>
        <w:pStyle w:val="2"/>
        <w:spacing w:line="243" w:lineRule="auto"/>
      </w:pPr>
    </w:p>
    <w:p w14:paraId="36127809">
      <w:pPr>
        <w:pStyle w:val="2"/>
        <w:spacing w:line="243" w:lineRule="auto"/>
      </w:pPr>
    </w:p>
    <w:p w14:paraId="619452BF">
      <w:pPr>
        <w:pStyle w:val="2"/>
        <w:spacing w:line="243" w:lineRule="auto"/>
      </w:pPr>
    </w:p>
    <w:p w14:paraId="16EDDA7C">
      <w:pPr>
        <w:spacing w:before="101" w:line="228" w:lineRule="auto"/>
        <w:ind w:left="67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一、部门（单位）基本情况</w:t>
      </w:r>
    </w:p>
    <w:p w14:paraId="339D04F2">
      <w:pPr>
        <w:spacing w:before="173" w:line="221" w:lineRule="auto"/>
        <w:ind w:left="659"/>
        <w:outlineLvl w:val="1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b/>
          <w:bCs/>
          <w:spacing w:val="-4"/>
          <w:sz w:val="31"/>
          <w:szCs w:val="31"/>
        </w:rPr>
        <w:t>（一）职能职责</w:t>
      </w:r>
    </w:p>
    <w:p w14:paraId="00608B31">
      <w:pPr>
        <w:spacing w:before="260" w:line="303" w:lineRule="auto"/>
        <w:ind w:left="33" w:right="17" w:firstLine="492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4"/>
          <w:sz w:val="30"/>
          <w:szCs w:val="30"/>
        </w:rPr>
        <w:t>1、受市生态环境局委托，承担辖区内的生态环境相关工作；</w:t>
      </w:r>
      <w:r>
        <w:rPr>
          <w:rFonts w:ascii="仿宋" w:hAnsi="仿宋" w:eastAsia="仿宋" w:cs="仿宋"/>
          <w:spacing w:val="-1"/>
          <w:sz w:val="30"/>
          <w:szCs w:val="30"/>
        </w:rPr>
        <w:t>承担市生态环境局和县委、县政府交办的其他任务。</w:t>
      </w:r>
    </w:p>
    <w:p w14:paraId="3F55C0E4">
      <w:pPr>
        <w:spacing w:before="265" w:line="343" w:lineRule="auto"/>
        <w:ind w:left="33" w:right="20" w:firstLine="47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2、负责本辖区内重点污染源在线监控系统现场监督</w:t>
      </w:r>
      <w:r>
        <w:rPr>
          <w:rFonts w:ascii="仿宋" w:hAnsi="仿宋" w:eastAsia="仿宋" w:cs="仿宋"/>
          <w:spacing w:val="-6"/>
          <w:sz w:val="30"/>
          <w:szCs w:val="30"/>
        </w:rPr>
        <w:t>管理；负</w:t>
      </w:r>
      <w:r>
        <w:rPr>
          <w:rFonts w:ascii="仿宋" w:hAnsi="仿宋" w:eastAsia="仿宋" w:cs="仿宋"/>
          <w:spacing w:val="-3"/>
          <w:sz w:val="30"/>
          <w:szCs w:val="30"/>
        </w:rPr>
        <w:t>责受理和办理生态环境保护举报（信访</w:t>
      </w:r>
      <w:r>
        <w:rPr>
          <w:rFonts w:ascii="仿宋" w:hAnsi="仿宋" w:eastAsia="仿宋" w:cs="仿宋"/>
          <w:spacing w:val="-18"/>
          <w:sz w:val="30"/>
          <w:szCs w:val="30"/>
        </w:rPr>
        <w:t>），</w:t>
      </w:r>
      <w:r>
        <w:rPr>
          <w:rFonts w:ascii="仿宋" w:hAnsi="仿宋" w:eastAsia="仿宋" w:cs="仿宋"/>
          <w:spacing w:val="-3"/>
          <w:sz w:val="30"/>
          <w:szCs w:val="30"/>
        </w:rPr>
        <w:t>负责生态环境</w:t>
      </w:r>
      <w:r>
        <w:rPr>
          <w:rFonts w:ascii="仿宋" w:hAnsi="仿宋" w:eastAsia="仿宋" w:cs="仿宋"/>
          <w:spacing w:val="-4"/>
          <w:sz w:val="30"/>
          <w:szCs w:val="30"/>
        </w:rPr>
        <w:t>信访维稳事件的现场调查处置工作；负责环境县级执法事项违法</w:t>
      </w:r>
      <w:r>
        <w:rPr>
          <w:rFonts w:ascii="仿宋" w:hAnsi="仿宋" w:eastAsia="仿宋" w:cs="仿宋"/>
          <w:spacing w:val="-5"/>
          <w:sz w:val="30"/>
          <w:szCs w:val="30"/>
        </w:rPr>
        <w:t>案件调</w:t>
      </w:r>
      <w:r>
        <w:rPr>
          <w:rFonts w:ascii="仿宋" w:hAnsi="仿宋" w:eastAsia="仿宋" w:cs="仿宋"/>
          <w:spacing w:val="-3"/>
          <w:sz w:val="30"/>
          <w:szCs w:val="30"/>
        </w:rPr>
        <w:t>查处理；负责组织协调生态环境保护县级跨部门联合执法行动。</w:t>
      </w:r>
    </w:p>
    <w:p w14:paraId="3FA0CF46">
      <w:pPr>
        <w:spacing w:before="267" w:line="302" w:lineRule="auto"/>
        <w:ind w:left="33" w:right="69" w:firstLine="47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3、负责本辖区生态环境质量监测、执法监测</w:t>
      </w:r>
      <w:r>
        <w:rPr>
          <w:rFonts w:ascii="仿宋" w:hAnsi="仿宋" w:eastAsia="仿宋" w:cs="仿宋"/>
          <w:spacing w:val="-6"/>
          <w:sz w:val="30"/>
          <w:szCs w:val="30"/>
        </w:rPr>
        <w:t>、污染源监测和</w:t>
      </w:r>
      <w:r>
        <w:rPr>
          <w:rFonts w:ascii="仿宋" w:hAnsi="仿宋" w:eastAsia="仿宋" w:cs="仿宋"/>
          <w:spacing w:val="-1"/>
          <w:sz w:val="30"/>
          <w:szCs w:val="30"/>
        </w:rPr>
        <w:t>应急监测；负责辖区内生态文明示范县创建。</w:t>
      </w:r>
    </w:p>
    <w:p w14:paraId="18CBF03C">
      <w:pPr>
        <w:spacing w:before="259" w:line="364" w:lineRule="auto"/>
        <w:ind w:left="33" w:firstLine="470"/>
        <w:rPr>
          <w:rFonts w:ascii="仿宋" w:hAnsi="仿宋" w:eastAsia="仿宋" w:cs="仿宋"/>
          <w:sz w:val="30"/>
          <w:szCs w:val="30"/>
        </w:rPr>
        <w:sectPr>
          <w:pgSz w:w="11906" w:h="16839"/>
          <w:pgMar w:top="1431" w:right="1730" w:bottom="1429" w:left="1785" w:header="0" w:footer="0" w:gutter="0"/>
          <w:cols w:space="720" w:num="1"/>
        </w:sectPr>
      </w:pPr>
      <w:r>
        <w:rPr>
          <w:rFonts w:ascii="仿宋" w:hAnsi="仿宋" w:eastAsia="仿宋" w:cs="仿宋"/>
          <w:spacing w:val="-3"/>
          <w:sz w:val="30"/>
          <w:szCs w:val="30"/>
        </w:rPr>
        <w:t>4、承担辖区内固体废物、化学品、持久性有机物、重金属、</w:t>
      </w:r>
      <w:r>
        <w:rPr>
          <w:rFonts w:ascii="仿宋" w:hAnsi="仿宋" w:eastAsia="仿宋" w:cs="仿宋"/>
          <w:spacing w:val="-4"/>
          <w:sz w:val="30"/>
          <w:szCs w:val="30"/>
        </w:rPr>
        <w:t>电磁辐射源等年度调查技术工作；承担企业固体废物、化学</w:t>
      </w:r>
      <w:r>
        <w:rPr>
          <w:rFonts w:ascii="仿宋" w:hAnsi="仿宋" w:eastAsia="仿宋" w:cs="仿宋"/>
          <w:spacing w:val="-5"/>
          <w:sz w:val="30"/>
          <w:szCs w:val="30"/>
        </w:rPr>
        <w:t>品等</w:t>
      </w:r>
      <w:r>
        <w:rPr>
          <w:rFonts w:ascii="仿宋" w:hAnsi="仿宋" w:eastAsia="仿宋" w:cs="仿宋"/>
          <w:spacing w:val="-4"/>
          <w:sz w:val="30"/>
          <w:szCs w:val="30"/>
        </w:rPr>
        <w:t>污染防治技术的指导与服务工作；参与危险（固体）废物、</w:t>
      </w:r>
      <w:r>
        <w:rPr>
          <w:rFonts w:ascii="仿宋" w:hAnsi="仿宋" w:eastAsia="仿宋" w:cs="仿宋"/>
          <w:spacing w:val="-5"/>
          <w:sz w:val="30"/>
          <w:szCs w:val="30"/>
        </w:rPr>
        <w:t>重金</w:t>
      </w:r>
      <w:r>
        <w:rPr>
          <w:rFonts w:ascii="仿宋" w:hAnsi="仿宋" w:eastAsia="仿宋" w:cs="仿宋"/>
          <w:spacing w:val="-4"/>
          <w:sz w:val="30"/>
          <w:szCs w:val="30"/>
        </w:rPr>
        <w:t>属、辐射事故应急与调查技术工作；承担废弃电器电子产品</w:t>
      </w:r>
      <w:r>
        <w:rPr>
          <w:rFonts w:ascii="仿宋" w:hAnsi="仿宋" w:eastAsia="仿宋" w:cs="仿宋"/>
          <w:spacing w:val="-5"/>
          <w:sz w:val="30"/>
          <w:szCs w:val="30"/>
        </w:rPr>
        <w:t>拆解</w:t>
      </w:r>
      <w:r>
        <w:rPr>
          <w:rFonts w:ascii="仿宋" w:hAnsi="仿宋" w:eastAsia="仿宋" w:cs="仿宋"/>
          <w:spacing w:val="-4"/>
          <w:sz w:val="30"/>
          <w:szCs w:val="30"/>
        </w:rPr>
        <w:t>技术审查和电子废物环境管理相关技术指导与服务工作。承</w:t>
      </w:r>
      <w:r>
        <w:rPr>
          <w:rFonts w:ascii="仿宋" w:hAnsi="仿宋" w:eastAsia="仿宋" w:cs="仿宋"/>
          <w:spacing w:val="-5"/>
          <w:sz w:val="30"/>
          <w:szCs w:val="30"/>
        </w:rPr>
        <w:t>担辖</w:t>
      </w:r>
      <w:r>
        <w:rPr>
          <w:rFonts w:ascii="仿宋" w:hAnsi="仿宋" w:eastAsia="仿宋" w:cs="仿宋"/>
          <w:spacing w:val="-4"/>
          <w:sz w:val="30"/>
          <w:szCs w:val="30"/>
        </w:rPr>
        <w:t>区内主要污染物排污权有偿使用和指标储备相关技术性、事</w:t>
      </w:r>
      <w:r>
        <w:rPr>
          <w:rFonts w:ascii="仿宋" w:hAnsi="仿宋" w:eastAsia="仿宋" w:cs="仿宋"/>
          <w:spacing w:val="-5"/>
          <w:sz w:val="30"/>
          <w:szCs w:val="30"/>
        </w:rPr>
        <w:t>务性</w:t>
      </w:r>
      <w:r>
        <w:rPr>
          <w:rFonts w:ascii="仿宋" w:hAnsi="仿宋" w:eastAsia="仿宋" w:cs="仿宋"/>
          <w:spacing w:val="-4"/>
          <w:sz w:val="30"/>
          <w:szCs w:val="30"/>
        </w:rPr>
        <w:t>工作。承担辖区内生态环境数据资源建设、信息系统及基础</w:t>
      </w:r>
      <w:r>
        <w:rPr>
          <w:rFonts w:ascii="仿宋" w:hAnsi="仿宋" w:eastAsia="仿宋" w:cs="仿宋"/>
          <w:spacing w:val="-5"/>
          <w:sz w:val="30"/>
          <w:szCs w:val="30"/>
        </w:rPr>
        <w:t>设备</w:t>
      </w:r>
      <w:r>
        <w:rPr>
          <w:rFonts w:ascii="仿宋" w:hAnsi="仿宋" w:eastAsia="仿宋" w:cs="仿宋"/>
          <w:spacing w:val="-4"/>
          <w:sz w:val="30"/>
          <w:szCs w:val="30"/>
        </w:rPr>
        <w:t>设施的管理运维工作，提供网络安全与信息化技术支持和服</w:t>
      </w:r>
      <w:r>
        <w:rPr>
          <w:rFonts w:ascii="仿宋" w:hAnsi="仿宋" w:eastAsia="仿宋" w:cs="仿宋"/>
          <w:spacing w:val="-5"/>
          <w:sz w:val="30"/>
          <w:szCs w:val="30"/>
        </w:rPr>
        <w:t>务保</w:t>
      </w:r>
    </w:p>
    <w:p w14:paraId="7A63CE6C">
      <w:pPr>
        <w:spacing w:before="170" w:line="382" w:lineRule="auto"/>
        <w:ind w:left="33" w:right="95" w:firstLine="1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障。承担为机关行政审批、行政许可和综合执法等工作提供技术</w:t>
      </w:r>
      <w:r>
        <w:rPr>
          <w:rFonts w:ascii="仿宋" w:hAnsi="仿宋" w:eastAsia="仿宋" w:cs="仿宋"/>
          <w:spacing w:val="-1"/>
          <w:sz w:val="30"/>
          <w:szCs w:val="30"/>
        </w:rPr>
        <w:t>支撑和事务性工作。承办上级交办的其他事项。</w:t>
      </w:r>
    </w:p>
    <w:p w14:paraId="6E2F6D64">
      <w:pPr>
        <w:spacing w:line="225" w:lineRule="auto"/>
        <w:ind w:left="659"/>
        <w:outlineLvl w:val="1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b/>
          <w:bCs/>
          <w:spacing w:val="-3"/>
          <w:sz w:val="31"/>
          <w:szCs w:val="31"/>
        </w:rPr>
        <w:t>（二）机构设置</w:t>
      </w:r>
    </w:p>
    <w:p w14:paraId="61F3D9B2">
      <w:pPr>
        <w:spacing w:before="309" w:line="370" w:lineRule="auto"/>
        <w:ind w:left="33" w:right="95" w:firstLine="602"/>
        <w:jc w:val="both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7"/>
          <w:sz w:val="30"/>
          <w:szCs w:val="30"/>
        </w:rPr>
        <w:t>岳阳市生态环境局平江分局</w:t>
      </w:r>
      <w:r>
        <w:rPr>
          <w:rFonts w:ascii="仿宋" w:hAnsi="仿宋" w:eastAsia="仿宋" w:cs="仿宋"/>
          <w:spacing w:val="-7"/>
          <w:sz w:val="30"/>
          <w:szCs w:val="30"/>
        </w:rPr>
        <w:t>“三定”设立4个机构：市生态环境局平江分局机关、岳</w:t>
      </w:r>
      <w:r>
        <w:rPr>
          <w:rFonts w:ascii="仿宋" w:hAnsi="仿宋" w:eastAsia="仿宋" w:cs="仿宋"/>
          <w:spacing w:val="-4"/>
          <w:sz w:val="30"/>
          <w:szCs w:val="30"/>
        </w:rPr>
        <w:t>阳市平江生态环境保护综合行政执法大队、岳阳市平江生</w:t>
      </w:r>
      <w:r>
        <w:rPr>
          <w:rFonts w:ascii="仿宋" w:hAnsi="仿宋" w:eastAsia="仿宋" w:cs="仿宋"/>
          <w:spacing w:val="-5"/>
          <w:sz w:val="30"/>
          <w:szCs w:val="30"/>
        </w:rPr>
        <w:t>态环境</w:t>
      </w:r>
      <w:r>
        <w:rPr>
          <w:rFonts w:ascii="仿宋" w:hAnsi="仿宋" w:eastAsia="仿宋" w:cs="仿宋"/>
          <w:spacing w:val="-2"/>
          <w:sz w:val="30"/>
          <w:szCs w:val="30"/>
        </w:rPr>
        <w:t>监测站、岳阳市平江生态环境事务中心</w:t>
      </w:r>
      <w:r>
        <w:rPr>
          <w:rFonts w:hint="eastAsia" w:ascii="仿宋" w:hAnsi="仿宋" w:eastAsia="仿宋" w:cs="仿宋"/>
          <w:spacing w:val="-2"/>
          <w:sz w:val="30"/>
          <w:szCs w:val="30"/>
          <w:lang w:eastAsia="zh-CN"/>
        </w:rPr>
        <w:t>。</w:t>
      </w:r>
      <w:r>
        <w:rPr>
          <w:rFonts w:ascii="仿宋" w:hAnsi="仿宋" w:eastAsia="仿宋" w:cs="仿宋"/>
          <w:spacing w:val="-2"/>
          <w:sz w:val="30"/>
          <w:szCs w:val="30"/>
        </w:rPr>
        <w:t>现有编制</w:t>
      </w:r>
      <w:r>
        <w:rPr>
          <w:rFonts w:hint="eastAsia" w:ascii="仿宋" w:hAnsi="仿宋" w:eastAsia="仿宋" w:cs="仿宋"/>
          <w:spacing w:val="-2"/>
          <w:sz w:val="30"/>
          <w:szCs w:val="30"/>
          <w:lang w:val="en-US" w:eastAsia="zh-CN"/>
        </w:rPr>
        <w:t>人</w:t>
      </w:r>
      <w:r>
        <w:rPr>
          <w:rFonts w:ascii="仿宋" w:hAnsi="仿宋" w:eastAsia="仿宋" w:cs="仿宋"/>
          <w:spacing w:val="-2"/>
          <w:sz w:val="30"/>
          <w:szCs w:val="30"/>
        </w:rPr>
        <w:t>数7</w:t>
      </w:r>
      <w:r>
        <w:rPr>
          <w:rFonts w:hint="eastAsia" w:ascii="仿宋" w:hAnsi="仿宋" w:eastAsia="仿宋" w:cs="仿宋"/>
          <w:spacing w:val="-2"/>
          <w:sz w:val="30"/>
          <w:szCs w:val="30"/>
          <w:lang w:val="en-US" w:eastAsia="zh-CN"/>
        </w:rPr>
        <w:t>2</w:t>
      </w:r>
      <w:r>
        <w:rPr>
          <w:rFonts w:ascii="仿宋" w:hAnsi="仿宋" w:eastAsia="仿宋" w:cs="仿宋"/>
          <w:spacing w:val="-2"/>
          <w:sz w:val="30"/>
          <w:szCs w:val="30"/>
        </w:rPr>
        <w:t>人</w:t>
      </w:r>
      <w:r>
        <w:rPr>
          <w:rFonts w:hint="eastAsia" w:ascii="仿宋" w:hAnsi="仿宋" w:eastAsia="仿宋" w:cs="仿宋"/>
          <w:spacing w:val="-2"/>
          <w:sz w:val="30"/>
          <w:szCs w:val="30"/>
          <w:lang w:eastAsia="zh-CN"/>
        </w:rPr>
        <w:t>，</w:t>
      </w:r>
      <w:r>
        <w:rPr>
          <w:rFonts w:hint="eastAsia" w:ascii="仿宋" w:hAnsi="仿宋" w:eastAsia="仿宋" w:cs="仿宋"/>
          <w:spacing w:val="-2"/>
          <w:sz w:val="30"/>
          <w:szCs w:val="30"/>
          <w:lang w:val="en-US" w:eastAsia="zh-CN"/>
        </w:rPr>
        <w:t>实有人数72人</w:t>
      </w:r>
      <w:r>
        <w:rPr>
          <w:rFonts w:ascii="仿宋" w:hAnsi="仿宋" w:eastAsia="仿宋" w:cs="仿宋"/>
          <w:spacing w:val="-2"/>
          <w:sz w:val="30"/>
          <w:szCs w:val="30"/>
        </w:rPr>
        <w:t>。</w:t>
      </w:r>
      <w:r>
        <w:rPr>
          <w:rFonts w:hint="eastAsia" w:ascii="仿宋" w:hAnsi="仿宋" w:eastAsia="仿宋" w:cs="仿宋"/>
          <w:spacing w:val="-2"/>
          <w:sz w:val="30"/>
          <w:szCs w:val="30"/>
          <w:lang w:val="en-US" w:eastAsia="zh-CN"/>
        </w:rPr>
        <w:t>退休人数39人</w:t>
      </w:r>
      <w:r>
        <w:rPr>
          <w:rFonts w:ascii="仿宋" w:hAnsi="仿宋" w:eastAsia="仿宋" w:cs="仿宋"/>
          <w:spacing w:val="-2"/>
          <w:sz w:val="30"/>
          <w:szCs w:val="30"/>
        </w:rPr>
        <w:t>。</w:t>
      </w:r>
    </w:p>
    <w:p w14:paraId="2A834D14">
      <w:pPr>
        <w:spacing w:before="12" w:line="226" w:lineRule="auto"/>
        <w:ind w:left="672"/>
        <w:outlineLvl w:val="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二、一般公共预算支出情况</w:t>
      </w:r>
    </w:p>
    <w:p w14:paraId="75292105">
      <w:pPr>
        <w:spacing w:before="261" w:line="222" w:lineRule="auto"/>
        <w:ind w:left="659"/>
        <w:outlineLvl w:val="1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b/>
          <w:bCs/>
          <w:spacing w:val="-1"/>
          <w:sz w:val="31"/>
          <w:szCs w:val="31"/>
        </w:rPr>
        <w:t>（一）基本支出情况</w:t>
      </w:r>
    </w:p>
    <w:p w14:paraId="2F1EB6E5">
      <w:pPr>
        <w:spacing w:before="246" w:line="370" w:lineRule="auto"/>
        <w:ind w:left="33" w:right="18" w:firstLine="594"/>
        <w:jc w:val="both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202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5</w:t>
      </w:r>
      <w:r>
        <w:rPr>
          <w:rFonts w:ascii="仿宋" w:hAnsi="仿宋" w:eastAsia="仿宋" w:cs="仿宋"/>
          <w:sz w:val="30"/>
          <w:szCs w:val="30"/>
        </w:rPr>
        <w:t>年基本支出年初预算数为</w:t>
      </w:r>
      <w:r>
        <w:rPr>
          <w:rFonts w:ascii="仿宋" w:hAnsi="仿宋" w:eastAsia="仿宋" w:cs="仿宋"/>
          <w:spacing w:val="-36"/>
          <w:sz w:val="30"/>
          <w:szCs w:val="30"/>
        </w:rPr>
        <w:t xml:space="preserve"> </w:t>
      </w:r>
      <w:r>
        <w:rPr>
          <w:rFonts w:hint="eastAsia" w:ascii="仿宋" w:hAnsi="仿宋" w:eastAsia="仿宋" w:cs="仿宋"/>
          <w:spacing w:val="-13"/>
          <w:sz w:val="30"/>
          <w:szCs w:val="30"/>
          <w:lang w:val="en-US" w:eastAsia="zh-CN"/>
        </w:rPr>
        <w:t>1311.18</w:t>
      </w:r>
      <w:r>
        <w:rPr>
          <w:rFonts w:ascii="仿宋" w:hAnsi="仿宋" w:eastAsia="仿宋" w:cs="仿宋"/>
          <w:sz w:val="30"/>
          <w:szCs w:val="30"/>
        </w:rPr>
        <w:t>万元，决算实际支</w:t>
      </w:r>
      <w:r>
        <w:rPr>
          <w:rFonts w:ascii="仿宋" w:hAnsi="仿宋" w:eastAsia="仿宋" w:cs="仿宋"/>
          <w:spacing w:val="-13"/>
          <w:sz w:val="30"/>
          <w:szCs w:val="30"/>
        </w:rPr>
        <w:t>出数为</w:t>
      </w:r>
      <w:r>
        <w:rPr>
          <w:rFonts w:ascii="仿宋" w:hAnsi="仿宋" w:eastAsia="仿宋" w:cs="仿宋"/>
          <w:spacing w:val="-36"/>
          <w:sz w:val="30"/>
          <w:szCs w:val="30"/>
        </w:rPr>
        <w:t xml:space="preserve"> </w:t>
      </w:r>
      <w:r>
        <w:rPr>
          <w:rFonts w:hint="eastAsia" w:ascii="仿宋" w:hAnsi="仿宋" w:eastAsia="仿宋" w:cs="仿宋"/>
          <w:spacing w:val="-13"/>
          <w:sz w:val="30"/>
          <w:szCs w:val="30"/>
          <w:lang w:val="en-US" w:eastAsia="zh-CN"/>
        </w:rPr>
        <w:t>1539.30</w:t>
      </w:r>
      <w:r>
        <w:rPr>
          <w:rFonts w:ascii="仿宋" w:hAnsi="仿宋" w:eastAsia="仿宋" w:cs="仿宋"/>
          <w:spacing w:val="-52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3"/>
          <w:sz w:val="30"/>
          <w:szCs w:val="30"/>
        </w:rPr>
        <w:t>万元。其中：人员经费</w:t>
      </w:r>
      <w:r>
        <w:rPr>
          <w:rFonts w:ascii="仿宋" w:hAnsi="仿宋" w:eastAsia="仿宋" w:cs="仿宋"/>
          <w:spacing w:val="-43"/>
          <w:sz w:val="30"/>
          <w:szCs w:val="30"/>
        </w:rPr>
        <w:t xml:space="preserve"> </w:t>
      </w:r>
      <w:r>
        <w:rPr>
          <w:rFonts w:hint="eastAsia" w:ascii="仿宋" w:hAnsi="仿宋" w:eastAsia="仿宋" w:cs="仿宋"/>
          <w:spacing w:val="-13"/>
          <w:sz w:val="30"/>
          <w:szCs w:val="30"/>
          <w:lang w:val="en-US" w:eastAsia="zh-CN"/>
        </w:rPr>
        <w:t>1352.02</w:t>
      </w:r>
      <w:r>
        <w:rPr>
          <w:rFonts w:ascii="仿宋" w:hAnsi="仿宋" w:eastAsia="仿宋" w:cs="仿宋"/>
          <w:spacing w:val="-52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3"/>
          <w:sz w:val="30"/>
          <w:szCs w:val="30"/>
        </w:rPr>
        <w:t>万元，主要包括：</w:t>
      </w:r>
      <w:r>
        <w:rPr>
          <w:rFonts w:ascii="仿宋" w:hAnsi="仿宋" w:eastAsia="仿宋" w:cs="仿宋"/>
          <w:spacing w:val="-4"/>
          <w:sz w:val="30"/>
          <w:szCs w:val="30"/>
        </w:rPr>
        <w:t>基本工资、津贴补贴、奖金、绩效工资、机关事业单位基</w:t>
      </w:r>
      <w:r>
        <w:rPr>
          <w:rFonts w:ascii="仿宋" w:hAnsi="仿宋" w:eastAsia="仿宋" w:cs="仿宋"/>
          <w:spacing w:val="-5"/>
          <w:sz w:val="30"/>
          <w:szCs w:val="30"/>
        </w:rPr>
        <w:t>本养老</w:t>
      </w:r>
      <w:r>
        <w:rPr>
          <w:rFonts w:ascii="仿宋" w:hAnsi="仿宋" w:eastAsia="仿宋" w:cs="仿宋"/>
          <w:spacing w:val="-4"/>
          <w:sz w:val="30"/>
          <w:szCs w:val="30"/>
        </w:rPr>
        <w:t>保险缴费、</w:t>
      </w:r>
      <w:r>
        <w:rPr>
          <w:rFonts w:hint="eastAsia" w:ascii="仿宋" w:hAnsi="仿宋" w:eastAsia="仿宋" w:cs="仿宋"/>
          <w:spacing w:val="-4"/>
          <w:sz w:val="30"/>
          <w:szCs w:val="30"/>
        </w:rPr>
        <w:t>职业年金</w:t>
      </w:r>
      <w:r>
        <w:rPr>
          <w:rFonts w:ascii="仿宋" w:hAnsi="仿宋" w:eastAsia="仿宋" w:cs="仿宋"/>
          <w:spacing w:val="-4"/>
          <w:sz w:val="30"/>
          <w:szCs w:val="30"/>
        </w:rPr>
        <w:t>缴费</w:t>
      </w:r>
      <w:r>
        <w:rPr>
          <w:rFonts w:hint="eastAsia" w:ascii="仿宋" w:hAnsi="仿宋" w:eastAsia="仿宋" w:cs="仿宋"/>
          <w:spacing w:val="-4"/>
          <w:sz w:val="30"/>
          <w:szCs w:val="30"/>
          <w:lang w:eastAsia="zh-CN"/>
        </w:rPr>
        <w:t>、</w:t>
      </w:r>
      <w:r>
        <w:rPr>
          <w:rFonts w:ascii="仿宋" w:hAnsi="仿宋" w:eastAsia="仿宋" w:cs="仿宋"/>
          <w:spacing w:val="-4"/>
          <w:sz w:val="30"/>
          <w:szCs w:val="30"/>
        </w:rPr>
        <w:t>职工基本医疗保险缴费、其他社会保障缴费、</w:t>
      </w:r>
      <w:r>
        <w:rPr>
          <w:rFonts w:ascii="仿宋" w:hAnsi="仿宋" w:eastAsia="仿宋" w:cs="仿宋"/>
          <w:spacing w:val="-5"/>
          <w:sz w:val="30"/>
          <w:szCs w:val="30"/>
        </w:rPr>
        <w:t>住房公</w:t>
      </w:r>
      <w:r>
        <w:rPr>
          <w:rFonts w:ascii="仿宋" w:hAnsi="仿宋" w:eastAsia="仿宋" w:cs="仿宋"/>
          <w:spacing w:val="-7"/>
          <w:sz w:val="30"/>
          <w:szCs w:val="30"/>
        </w:rPr>
        <w:t>积金、</w:t>
      </w:r>
      <w:r>
        <w:rPr>
          <w:rFonts w:hint="eastAsia" w:ascii="仿宋" w:hAnsi="仿宋" w:eastAsia="仿宋" w:cs="仿宋"/>
          <w:spacing w:val="-7"/>
          <w:sz w:val="30"/>
          <w:szCs w:val="30"/>
        </w:rPr>
        <w:t>伙食补助费</w:t>
      </w:r>
      <w:r>
        <w:rPr>
          <w:rFonts w:hint="eastAsia" w:ascii="仿宋" w:hAnsi="仿宋" w:eastAsia="仿宋" w:cs="仿宋"/>
          <w:spacing w:val="-7"/>
          <w:sz w:val="30"/>
          <w:szCs w:val="30"/>
          <w:lang w:eastAsia="zh-CN"/>
        </w:rPr>
        <w:t>、退休费、抚恤金、医疗费补助、</w:t>
      </w:r>
      <w:r>
        <w:rPr>
          <w:rFonts w:hint="eastAsia" w:ascii="仿宋" w:hAnsi="仿宋" w:eastAsia="仿宋" w:cs="仿宋"/>
          <w:spacing w:val="-7"/>
          <w:sz w:val="30"/>
          <w:szCs w:val="30"/>
        </w:rPr>
        <w:t>其他对个人和家庭的补助</w:t>
      </w:r>
      <w:r>
        <w:rPr>
          <w:rFonts w:ascii="仿宋" w:hAnsi="仿宋" w:eastAsia="仿宋" w:cs="仿宋"/>
          <w:spacing w:val="-7"/>
          <w:sz w:val="30"/>
          <w:szCs w:val="30"/>
        </w:rPr>
        <w:t>等；公用经费</w:t>
      </w:r>
      <w:r>
        <w:rPr>
          <w:rFonts w:ascii="仿宋" w:hAnsi="仿宋" w:eastAsia="仿宋" w:cs="仿宋"/>
          <w:spacing w:val="-61"/>
          <w:sz w:val="30"/>
          <w:szCs w:val="30"/>
        </w:rPr>
        <w:t xml:space="preserve"> </w:t>
      </w:r>
      <w:r>
        <w:rPr>
          <w:rFonts w:hint="eastAsia" w:ascii="仿宋" w:hAnsi="仿宋" w:eastAsia="仿宋" w:cs="仿宋"/>
          <w:spacing w:val="-7"/>
          <w:sz w:val="30"/>
          <w:szCs w:val="30"/>
          <w:lang w:val="en-US" w:eastAsia="zh-CN"/>
        </w:rPr>
        <w:t>187.28</w:t>
      </w:r>
      <w:r>
        <w:rPr>
          <w:rFonts w:ascii="仿宋" w:hAnsi="仿宋" w:eastAsia="仿宋" w:cs="仿宋"/>
          <w:spacing w:val="-55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7"/>
          <w:sz w:val="30"/>
          <w:szCs w:val="30"/>
        </w:rPr>
        <w:t>万元，</w:t>
      </w:r>
      <w:r>
        <w:rPr>
          <w:rFonts w:ascii="仿宋" w:hAnsi="仿宋" w:eastAsia="仿宋" w:cs="仿宋"/>
          <w:spacing w:val="-8"/>
          <w:sz w:val="30"/>
          <w:szCs w:val="30"/>
        </w:rPr>
        <w:t>主要包括：</w:t>
      </w:r>
      <w:r>
        <w:rPr>
          <w:rFonts w:ascii="仿宋" w:hAnsi="仿宋" w:eastAsia="仿宋" w:cs="仿宋"/>
          <w:spacing w:val="-4"/>
          <w:sz w:val="30"/>
          <w:szCs w:val="30"/>
        </w:rPr>
        <w:t>办公费、</w:t>
      </w:r>
      <w:r>
        <w:rPr>
          <w:rFonts w:hint="eastAsia" w:ascii="仿宋" w:hAnsi="仿宋" w:eastAsia="仿宋" w:cs="仿宋"/>
          <w:spacing w:val="-4"/>
          <w:sz w:val="30"/>
          <w:szCs w:val="30"/>
        </w:rPr>
        <w:t>印刷费</w:t>
      </w:r>
      <w:r>
        <w:rPr>
          <w:rFonts w:hint="eastAsia" w:ascii="仿宋" w:hAnsi="仿宋" w:eastAsia="仿宋" w:cs="仿宋"/>
          <w:spacing w:val="-4"/>
          <w:sz w:val="30"/>
          <w:szCs w:val="30"/>
          <w:lang w:eastAsia="zh-CN"/>
        </w:rPr>
        <w:t>、水费、电费、</w:t>
      </w:r>
      <w:r>
        <w:rPr>
          <w:rFonts w:ascii="仿宋" w:hAnsi="仿宋" w:eastAsia="仿宋" w:cs="仿宋"/>
          <w:spacing w:val="-4"/>
          <w:sz w:val="30"/>
          <w:szCs w:val="30"/>
        </w:rPr>
        <w:t>邮电费、差旅费、</w:t>
      </w:r>
      <w:r>
        <w:rPr>
          <w:rFonts w:hint="eastAsia" w:ascii="仿宋" w:hAnsi="仿宋" w:eastAsia="仿宋" w:cs="仿宋"/>
          <w:spacing w:val="-4"/>
          <w:sz w:val="30"/>
          <w:szCs w:val="30"/>
        </w:rPr>
        <w:t>物业管理费</w:t>
      </w:r>
      <w:r>
        <w:rPr>
          <w:rFonts w:hint="eastAsia" w:ascii="仿宋" w:hAnsi="仿宋" w:eastAsia="仿宋" w:cs="仿宋"/>
          <w:spacing w:val="-4"/>
          <w:sz w:val="30"/>
          <w:szCs w:val="30"/>
          <w:lang w:eastAsia="zh-CN"/>
        </w:rPr>
        <w:t>、</w:t>
      </w:r>
      <w:r>
        <w:rPr>
          <w:rFonts w:ascii="仿宋" w:hAnsi="仿宋" w:eastAsia="仿宋" w:cs="仿宋"/>
          <w:spacing w:val="-4"/>
          <w:sz w:val="30"/>
          <w:szCs w:val="30"/>
        </w:rPr>
        <w:t>培训费、</w:t>
      </w:r>
      <w:r>
        <w:rPr>
          <w:rFonts w:hint="eastAsia" w:ascii="仿宋" w:hAnsi="仿宋" w:eastAsia="仿宋" w:cs="仿宋"/>
          <w:spacing w:val="-4"/>
          <w:sz w:val="30"/>
          <w:szCs w:val="30"/>
        </w:rPr>
        <w:t>公务接待费</w:t>
      </w:r>
      <w:r>
        <w:rPr>
          <w:rFonts w:hint="eastAsia" w:ascii="仿宋" w:hAnsi="仿宋" w:eastAsia="仿宋" w:cs="仿宋"/>
          <w:spacing w:val="-4"/>
          <w:sz w:val="30"/>
          <w:szCs w:val="30"/>
          <w:lang w:eastAsia="zh-CN"/>
        </w:rPr>
        <w:t>、劳务费、</w:t>
      </w:r>
      <w:r>
        <w:rPr>
          <w:rFonts w:ascii="仿宋" w:hAnsi="仿宋" w:eastAsia="仿宋" w:cs="仿宋"/>
          <w:spacing w:val="-4"/>
          <w:sz w:val="30"/>
          <w:szCs w:val="30"/>
        </w:rPr>
        <w:t>工会经费、</w:t>
      </w:r>
      <w:r>
        <w:rPr>
          <w:rFonts w:hint="eastAsia" w:ascii="仿宋" w:hAnsi="仿宋" w:eastAsia="仿宋" w:cs="仿宋"/>
          <w:spacing w:val="-4"/>
          <w:sz w:val="30"/>
          <w:szCs w:val="30"/>
        </w:rPr>
        <w:t>福利费</w:t>
      </w:r>
      <w:r>
        <w:rPr>
          <w:rFonts w:hint="eastAsia" w:ascii="仿宋" w:hAnsi="仿宋" w:eastAsia="仿宋" w:cs="仿宋"/>
          <w:spacing w:val="-4"/>
          <w:sz w:val="30"/>
          <w:szCs w:val="30"/>
          <w:lang w:eastAsia="zh-CN"/>
        </w:rPr>
        <w:t>、其他交通费用、</w:t>
      </w:r>
      <w:r>
        <w:rPr>
          <w:rFonts w:ascii="仿宋" w:hAnsi="仿宋" w:eastAsia="仿宋" w:cs="仿宋"/>
          <w:spacing w:val="-4"/>
          <w:sz w:val="30"/>
          <w:szCs w:val="30"/>
        </w:rPr>
        <w:t>其他商品</w:t>
      </w:r>
      <w:r>
        <w:rPr>
          <w:rFonts w:ascii="仿宋" w:hAnsi="仿宋" w:eastAsia="仿宋" w:cs="仿宋"/>
          <w:spacing w:val="-5"/>
          <w:sz w:val="30"/>
          <w:szCs w:val="30"/>
        </w:rPr>
        <w:t>和服务支出等。</w:t>
      </w:r>
    </w:p>
    <w:p w14:paraId="677A555D">
      <w:pPr>
        <w:spacing w:before="14" w:line="223" w:lineRule="auto"/>
        <w:ind w:left="659"/>
        <w:outlineLvl w:val="1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b/>
          <w:bCs/>
          <w:spacing w:val="-9"/>
          <w:sz w:val="31"/>
          <w:szCs w:val="31"/>
        </w:rPr>
        <w:t>（二）项目支出情况</w:t>
      </w:r>
    </w:p>
    <w:p w14:paraId="73048985">
      <w:pPr>
        <w:spacing w:before="231" w:line="371" w:lineRule="auto"/>
        <w:ind w:left="86" w:right="40" w:hanging="44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pacing w:val="-4"/>
          <w:sz w:val="30"/>
          <w:szCs w:val="30"/>
          <w:lang w:eastAsia="zh-CN"/>
        </w:rPr>
        <w:t>202</w:t>
      </w:r>
      <w:r>
        <w:rPr>
          <w:rFonts w:hint="eastAsia" w:ascii="仿宋" w:hAnsi="仿宋" w:eastAsia="仿宋" w:cs="仿宋"/>
          <w:spacing w:val="-4"/>
          <w:sz w:val="30"/>
          <w:szCs w:val="30"/>
          <w:lang w:val="en-US" w:eastAsia="zh-CN"/>
        </w:rPr>
        <w:t>5</w:t>
      </w:r>
      <w:r>
        <w:rPr>
          <w:rFonts w:ascii="仿宋" w:hAnsi="仿宋" w:eastAsia="仿宋" w:cs="仿宋"/>
          <w:spacing w:val="-4"/>
          <w:sz w:val="30"/>
          <w:szCs w:val="30"/>
        </w:rPr>
        <w:t>年项目支出年初预算数为</w:t>
      </w:r>
      <w:r>
        <w:rPr>
          <w:rFonts w:hint="eastAsia" w:ascii="仿宋" w:hAnsi="仿宋" w:eastAsia="仿宋" w:cs="仿宋"/>
          <w:spacing w:val="-4"/>
          <w:sz w:val="30"/>
          <w:szCs w:val="30"/>
        </w:rPr>
        <w:t>159.29</w:t>
      </w:r>
      <w:r>
        <w:rPr>
          <w:rFonts w:ascii="仿宋" w:hAnsi="仿宋" w:eastAsia="仿宋" w:cs="仿宋"/>
          <w:spacing w:val="-4"/>
          <w:sz w:val="30"/>
          <w:szCs w:val="30"/>
        </w:rPr>
        <w:t>万元，决算实际支出</w:t>
      </w:r>
      <w:r>
        <w:rPr>
          <w:rFonts w:ascii="仿宋" w:hAnsi="仿宋" w:eastAsia="仿宋" w:cs="仿宋"/>
          <w:spacing w:val="-7"/>
          <w:sz w:val="30"/>
          <w:szCs w:val="30"/>
        </w:rPr>
        <w:t>数为</w:t>
      </w:r>
      <w:r>
        <w:rPr>
          <w:rFonts w:ascii="仿宋" w:hAnsi="仿宋" w:eastAsia="仿宋" w:cs="仿宋"/>
          <w:spacing w:val="-47"/>
          <w:sz w:val="30"/>
          <w:szCs w:val="30"/>
        </w:rPr>
        <w:t xml:space="preserve"> </w:t>
      </w:r>
      <w:r>
        <w:rPr>
          <w:rFonts w:hint="eastAsia" w:ascii="仿宋" w:hAnsi="仿宋" w:eastAsia="仿宋" w:cs="仿宋"/>
          <w:spacing w:val="-7"/>
          <w:sz w:val="30"/>
          <w:szCs w:val="30"/>
          <w:lang w:val="en-US" w:eastAsia="zh-CN"/>
        </w:rPr>
        <w:t>1599.26</w:t>
      </w:r>
      <w:r>
        <w:rPr>
          <w:rFonts w:ascii="仿宋" w:hAnsi="仿宋" w:eastAsia="仿宋" w:cs="仿宋"/>
          <w:spacing w:val="-54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7"/>
          <w:sz w:val="30"/>
          <w:szCs w:val="30"/>
        </w:rPr>
        <w:t>万元。主要用于业务工作经费，办案费，</w:t>
      </w:r>
      <w:r>
        <w:rPr>
          <w:rFonts w:hint="eastAsia" w:ascii="仿宋" w:hAnsi="仿宋" w:eastAsia="仿宋" w:cs="仿宋"/>
          <w:spacing w:val="-7"/>
          <w:sz w:val="30"/>
          <w:szCs w:val="30"/>
        </w:rPr>
        <w:t>农村环境整治</w:t>
      </w:r>
      <w:r>
        <w:rPr>
          <w:rFonts w:ascii="仿宋" w:hAnsi="仿宋" w:eastAsia="仿宋" w:cs="仿宋"/>
          <w:spacing w:val="-5"/>
          <w:sz w:val="30"/>
          <w:szCs w:val="30"/>
        </w:rPr>
        <w:t>，</w:t>
      </w:r>
      <w:r>
        <w:rPr>
          <w:rFonts w:hint="eastAsia" w:ascii="仿宋" w:hAnsi="仿宋" w:eastAsia="仿宋" w:cs="仿宋"/>
          <w:spacing w:val="-5"/>
          <w:sz w:val="30"/>
          <w:szCs w:val="30"/>
        </w:rPr>
        <w:t>县财政-县重点流域河流排污口排查整治</w:t>
      </w:r>
      <w:r>
        <w:rPr>
          <w:rFonts w:ascii="仿宋" w:hAnsi="仿宋" w:eastAsia="仿宋" w:cs="仿宋"/>
          <w:spacing w:val="-15"/>
          <w:sz w:val="30"/>
          <w:szCs w:val="30"/>
        </w:rPr>
        <w:t>等方面。</w:t>
      </w:r>
    </w:p>
    <w:p w14:paraId="761611A9">
      <w:pPr>
        <w:spacing w:before="9" w:line="227" w:lineRule="auto"/>
        <w:ind w:left="672"/>
        <w:outlineLvl w:val="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二、政府性基金预算支出情况</w:t>
      </w:r>
    </w:p>
    <w:p w14:paraId="782E8722">
      <w:pPr>
        <w:spacing w:before="245" w:line="220" w:lineRule="auto"/>
        <w:ind w:left="628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pacing w:val="-3"/>
          <w:sz w:val="30"/>
          <w:szCs w:val="30"/>
          <w:lang w:eastAsia="zh-CN"/>
        </w:rPr>
        <w:t>202</w:t>
      </w:r>
      <w:r>
        <w:rPr>
          <w:rFonts w:hint="eastAsia" w:ascii="仿宋" w:hAnsi="仿宋" w:eastAsia="仿宋" w:cs="仿宋"/>
          <w:spacing w:val="-3"/>
          <w:sz w:val="30"/>
          <w:szCs w:val="30"/>
          <w:lang w:val="en-US" w:eastAsia="zh-CN"/>
        </w:rPr>
        <w:t>5</w:t>
      </w:r>
      <w:r>
        <w:rPr>
          <w:rFonts w:ascii="仿宋" w:hAnsi="仿宋" w:eastAsia="仿宋" w:cs="仿宋"/>
          <w:spacing w:val="-37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3"/>
          <w:sz w:val="30"/>
          <w:szCs w:val="30"/>
        </w:rPr>
        <w:t>年无政府性基金预算支出情况。</w:t>
      </w:r>
    </w:p>
    <w:p w14:paraId="7E594A09">
      <w:pPr>
        <w:spacing w:before="257" w:line="227" w:lineRule="auto"/>
        <w:ind w:left="673"/>
        <w:outlineLvl w:val="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三、国有资本经营预算支出情况</w:t>
      </w:r>
    </w:p>
    <w:p w14:paraId="2F60A46E">
      <w:pPr>
        <w:spacing w:before="181" w:line="222" w:lineRule="auto"/>
        <w:ind w:left="628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pacing w:val="-3"/>
          <w:sz w:val="30"/>
          <w:szCs w:val="30"/>
          <w:lang w:eastAsia="zh-CN"/>
        </w:rPr>
        <w:t>202</w:t>
      </w:r>
      <w:r>
        <w:rPr>
          <w:rFonts w:hint="eastAsia" w:ascii="仿宋" w:hAnsi="仿宋" w:eastAsia="仿宋" w:cs="仿宋"/>
          <w:spacing w:val="-3"/>
          <w:sz w:val="30"/>
          <w:szCs w:val="30"/>
          <w:lang w:val="en-US" w:eastAsia="zh-CN"/>
        </w:rPr>
        <w:t>5</w:t>
      </w:r>
      <w:r>
        <w:rPr>
          <w:rFonts w:ascii="仿宋" w:hAnsi="仿宋" w:eastAsia="仿宋" w:cs="仿宋"/>
          <w:spacing w:val="-34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3"/>
          <w:sz w:val="30"/>
          <w:szCs w:val="30"/>
        </w:rPr>
        <w:t>年无国有资本经营预算支出情况。</w:t>
      </w:r>
    </w:p>
    <w:p w14:paraId="18BAEA7F">
      <w:pPr>
        <w:spacing w:before="341" w:line="227" w:lineRule="auto"/>
        <w:ind w:left="686"/>
        <w:outlineLvl w:val="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四、社会保险基金预算支出情况</w:t>
      </w:r>
    </w:p>
    <w:p w14:paraId="29F9F631">
      <w:pPr>
        <w:spacing w:before="182" w:line="221" w:lineRule="auto"/>
        <w:ind w:left="628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pacing w:val="-3"/>
          <w:sz w:val="30"/>
          <w:szCs w:val="30"/>
          <w:lang w:eastAsia="zh-CN"/>
        </w:rPr>
        <w:t>202</w:t>
      </w:r>
      <w:r>
        <w:rPr>
          <w:rFonts w:hint="eastAsia" w:ascii="仿宋" w:hAnsi="仿宋" w:eastAsia="仿宋" w:cs="仿宋"/>
          <w:spacing w:val="-3"/>
          <w:sz w:val="30"/>
          <w:szCs w:val="30"/>
          <w:lang w:val="en-US" w:eastAsia="zh-CN"/>
        </w:rPr>
        <w:t>5</w:t>
      </w:r>
      <w:r>
        <w:rPr>
          <w:rFonts w:ascii="仿宋" w:hAnsi="仿宋" w:eastAsia="仿宋" w:cs="仿宋"/>
          <w:spacing w:val="-34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3"/>
          <w:sz w:val="30"/>
          <w:szCs w:val="30"/>
        </w:rPr>
        <w:t>年无社会保险基金预算支出情况。</w:t>
      </w:r>
    </w:p>
    <w:p w14:paraId="1C60E099">
      <w:pPr>
        <w:spacing w:before="340" w:line="226" w:lineRule="auto"/>
        <w:ind w:left="677"/>
        <w:outlineLvl w:val="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六、部门整体支出绩效情况</w:t>
      </w:r>
    </w:p>
    <w:p w14:paraId="2B5ACEED">
      <w:pPr>
        <w:spacing w:before="183" w:line="222" w:lineRule="auto"/>
        <w:ind w:left="638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3"/>
          <w:sz w:val="30"/>
          <w:szCs w:val="30"/>
        </w:rPr>
        <w:t>（一）部门资金情况分析</w:t>
      </w:r>
    </w:p>
    <w:p w14:paraId="1A09492F">
      <w:pPr>
        <w:spacing w:before="264" w:line="384" w:lineRule="auto"/>
        <w:ind w:left="33" w:right="98" w:firstLine="610"/>
        <w:jc w:val="both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4"/>
          <w:sz w:val="30"/>
          <w:szCs w:val="30"/>
        </w:rPr>
        <w:t>我局</w:t>
      </w:r>
      <w:r>
        <w:rPr>
          <w:rFonts w:ascii="仿宋" w:hAnsi="仿宋" w:eastAsia="仿宋" w:cs="仿宋"/>
          <w:spacing w:val="-49"/>
          <w:sz w:val="30"/>
          <w:szCs w:val="30"/>
        </w:rPr>
        <w:t xml:space="preserve"> </w:t>
      </w:r>
      <w:r>
        <w:rPr>
          <w:rFonts w:hint="eastAsia" w:ascii="仿宋" w:hAnsi="仿宋" w:eastAsia="仿宋" w:cs="仿宋"/>
          <w:spacing w:val="-4"/>
          <w:sz w:val="30"/>
          <w:szCs w:val="30"/>
          <w:lang w:eastAsia="zh-CN"/>
        </w:rPr>
        <w:t>202</w:t>
      </w:r>
      <w:r>
        <w:rPr>
          <w:rFonts w:hint="eastAsia" w:ascii="仿宋" w:hAnsi="仿宋" w:eastAsia="仿宋" w:cs="仿宋"/>
          <w:spacing w:val="-4"/>
          <w:sz w:val="30"/>
          <w:szCs w:val="30"/>
          <w:lang w:val="en-US" w:eastAsia="zh-CN"/>
        </w:rPr>
        <w:t>5</w:t>
      </w:r>
      <w:r>
        <w:rPr>
          <w:rFonts w:ascii="仿宋" w:hAnsi="仿宋" w:eastAsia="仿宋" w:cs="仿宋"/>
          <w:spacing w:val="-5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4"/>
          <w:sz w:val="30"/>
          <w:szCs w:val="30"/>
        </w:rPr>
        <w:t>年资金总额</w:t>
      </w:r>
      <w:r>
        <w:rPr>
          <w:rFonts w:hint="eastAsia" w:ascii="仿宋" w:hAnsi="仿宋" w:eastAsia="仿宋" w:cs="仿宋"/>
          <w:spacing w:val="-4"/>
          <w:sz w:val="30"/>
          <w:szCs w:val="30"/>
          <w:lang w:val="en-US" w:eastAsia="zh-CN"/>
        </w:rPr>
        <w:t>3138.56</w:t>
      </w:r>
      <w:r>
        <w:rPr>
          <w:rFonts w:ascii="仿宋" w:hAnsi="仿宋" w:eastAsia="仿宋" w:cs="仿宋"/>
          <w:spacing w:val="-4"/>
          <w:sz w:val="30"/>
          <w:szCs w:val="30"/>
        </w:rPr>
        <w:t>万元，专项经费实行专款专</w:t>
      </w:r>
      <w:r>
        <w:rPr>
          <w:rFonts w:ascii="仿宋" w:hAnsi="仿宋" w:eastAsia="仿宋" w:cs="仿宋"/>
          <w:spacing w:val="-1"/>
          <w:sz w:val="30"/>
          <w:szCs w:val="30"/>
        </w:rPr>
        <w:t>用，严格按照相关规定支付，资金支付合规合法，资金使用率</w:t>
      </w:r>
      <w:r>
        <w:rPr>
          <w:rFonts w:ascii="仿宋" w:hAnsi="仿宋" w:eastAsia="仿宋" w:cs="仿宋"/>
          <w:spacing w:val="-4"/>
          <w:sz w:val="30"/>
          <w:szCs w:val="30"/>
        </w:rPr>
        <w:t>100%。</w:t>
      </w:r>
    </w:p>
    <w:p w14:paraId="5D4700F7">
      <w:pPr>
        <w:spacing w:before="1" w:line="221" w:lineRule="auto"/>
        <w:ind w:left="638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（二）项目绩效指标完成情况分析</w:t>
      </w:r>
    </w:p>
    <w:p w14:paraId="28D6EDBF">
      <w:pPr>
        <w:spacing w:before="264" w:line="384" w:lineRule="auto"/>
        <w:ind w:left="33" w:right="98" w:firstLine="610"/>
        <w:jc w:val="both"/>
        <w:rPr>
          <w:rFonts w:hint="default" w:ascii="仿宋" w:hAnsi="仿宋" w:eastAsia="仿宋" w:cs="仿宋"/>
          <w:spacing w:val="-4"/>
          <w:sz w:val="30"/>
          <w:szCs w:val="30"/>
          <w:lang w:val="en-US" w:eastAsia="zh-CN"/>
        </w:rPr>
      </w:pPr>
      <w:r>
        <w:rPr>
          <w:rFonts w:hint="default" w:ascii="仿宋" w:hAnsi="仿宋" w:eastAsia="仿宋" w:cs="仿宋"/>
          <w:spacing w:val="-4"/>
          <w:sz w:val="30"/>
          <w:szCs w:val="30"/>
          <w:lang w:val="en-US" w:eastAsia="zh-CN"/>
        </w:rPr>
        <w:t>一、生态环境基本状况</w:t>
      </w:r>
    </w:p>
    <w:p w14:paraId="466ABE7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84" w:lineRule="auto"/>
        <w:ind w:left="34" w:right="96" w:firstLine="612"/>
        <w:jc w:val="both"/>
        <w:textAlignment w:val="baseline"/>
        <w:rPr>
          <w:rFonts w:hint="default" w:ascii="仿宋" w:hAnsi="仿宋" w:eastAsia="仿宋" w:cs="仿宋"/>
          <w:spacing w:val="-4"/>
          <w:sz w:val="30"/>
          <w:szCs w:val="30"/>
          <w:lang w:val="en-US" w:eastAsia="zh-CN"/>
        </w:rPr>
      </w:pPr>
      <w:r>
        <w:rPr>
          <w:rFonts w:hint="default" w:ascii="仿宋" w:hAnsi="仿宋" w:eastAsia="仿宋" w:cs="仿宋"/>
          <w:spacing w:val="-4"/>
          <w:sz w:val="30"/>
          <w:szCs w:val="30"/>
          <w:lang w:val="en-US" w:eastAsia="zh-CN"/>
        </w:rPr>
        <w:t>1.空气环境状况。2025年，县城区空气质量综合指数为3.09，优良率达93.4%；PM2.5平均浓度30.2微克/立方米，PM10平均浓度48微克/立方米，稳定达到国家二级标准。</w:t>
      </w:r>
    </w:p>
    <w:p w14:paraId="44201C4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84" w:lineRule="auto"/>
        <w:ind w:left="34" w:right="96" w:firstLine="612"/>
        <w:jc w:val="both"/>
        <w:textAlignment w:val="baseline"/>
        <w:rPr>
          <w:rFonts w:hint="default" w:ascii="仿宋" w:hAnsi="仿宋" w:eastAsia="仿宋" w:cs="仿宋"/>
          <w:spacing w:val="-4"/>
          <w:sz w:val="30"/>
          <w:szCs w:val="30"/>
          <w:lang w:val="en-US" w:eastAsia="zh-CN"/>
        </w:rPr>
      </w:pPr>
      <w:r>
        <w:rPr>
          <w:rFonts w:hint="default" w:ascii="仿宋" w:hAnsi="仿宋" w:eastAsia="仿宋" w:cs="仿宋"/>
          <w:spacing w:val="-4"/>
          <w:sz w:val="30"/>
          <w:szCs w:val="30"/>
          <w:lang w:val="en-US" w:eastAsia="zh-CN"/>
        </w:rPr>
        <w:t>2.水环境状况。7个国省考断面水质月均值达标率100%，集中式饮用水水源地水质优良比例100%，无劣Ⅴ类水体。出境新市断面总磷浓度均值较上年削减6.3%，水环境质量持续改善。</w:t>
      </w:r>
    </w:p>
    <w:p w14:paraId="3F957FB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84" w:lineRule="auto"/>
        <w:ind w:left="34" w:right="96" w:firstLine="612"/>
        <w:jc w:val="both"/>
        <w:textAlignment w:val="baseline"/>
        <w:rPr>
          <w:rFonts w:hint="default" w:ascii="仿宋" w:hAnsi="仿宋" w:eastAsia="仿宋" w:cs="仿宋"/>
          <w:spacing w:val="-4"/>
          <w:sz w:val="30"/>
          <w:szCs w:val="30"/>
          <w:lang w:val="en-US" w:eastAsia="zh-CN"/>
        </w:rPr>
      </w:pPr>
      <w:r>
        <w:rPr>
          <w:rFonts w:hint="default" w:ascii="仿宋" w:hAnsi="仿宋" w:eastAsia="仿宋" w:cs="仿宋"/>
          <w:spacing w:val="-4"/>
          <w:sz w:val="30"/>
          <w:szCs w:val="30"/>
          <w:lang w:val="en-US" w:eastAsia="zh-CN"/>
        </w:rPr>
        <w:t>3.土壤环境状况。扎实推进土壤污染风险管控和修复，受污染耕地安全利用率93%以上，重点建设用地安全利用得到有效保障。危险废物安全处置率100%，土壤环境风险总体可控。森林覆盖率稳定在66.68%，绿色本底更加厚实。</w:t>
      </w:r>
    </w:p>
    <w:p w14:paraId="03EEB00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84" w:lineRule="auto"/>
        <w:ind w:left="34" w:right="96" w:firstLine="612"/>
        <w:jc w:val="both"/>
        <w:textAlignment w:val="baseline"/>
        <w:rPr>
          <w:rFonts w:hint="default" w:ascii="仿宋" w:hAnsi="仿宋" w:eastAsia="仿宋" w:cs="仿宋"/>
          <w:spacing w:val="-4"/>
          <w:sz w:val="30"/>
          <w:szCs w:val="30"/>
          <w:lang w:val="en-US" w:eastAsia="zh-CN"/>
        </w:rPr>
      </w:pPr>
      <w:r>
        <w:rPr>
          <w:rFonts w:hint="default" w:ascii="仿宋" w:hAnsi="仿宋" w:eastAsia="仿宋" w:cs="仿宋"/>
          <w:spacing w:val="-4"/>
          <w:sz w:val="30"/>
          <w:szCs w:val="30"/>
          <w:lang w:val="en-US" w:eastAsia="zh-CN"/>
        </w:rPr>
        <w:t>二、工作</w:t>
      </w:r>
      <w:r>
        <w:rPr>
          <w:rFonts w:hint="eastAsia" w:ascii="仿宋" w:hAnsi="仿宋" w:eastAsia="仿宋" w:cs="仿宋"/>
          <w:spacing w:val="-4"/>
          <w:sz w:val="30"/>
          <w:szCs w:val="30"/>
          <w:lang w:val="en-US" w:eastAsia="zh-CN"/>
        </w:rPr>
        <w:t>开展情况</w:t>
      </w:r>
    </w:p>
    <w:p w14:paraId="111C5FE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84" w:lineRule="auto"/>
        <w:ind w:left="34" w:right="96" w:firstLine="612"/>
        <w:jc w:val="both"/>
        <w:textAlignment w:val="baseline"/>
        <w:rPr>
          <w:rFonts w:hint="default" w:ascii="仿宋" w:hAnsi="仿宋" w:eastAsia="仿宋" w:cs="仿宋"/>
          <w:spacing w:val="-4"/>
          <w:sz w:val="30"/>
          <w:szCs w:val="30"/>
          <w:lang w:val="en-US" w:eastAsia="zh-CN"/>
        </w:rPr>
      </w:pPr>
      <w:r>
        <w:rPr>
          <w:rFonts w:hint="default" w:ascii="仿宋" w:hAnsi="仿宋" w:eastAsia="仿宋" w:cs="仿宋"/>
          <w:spacing w:val="-4"/>
          <w:sz w:val="30"/>
          <w:szCs w:val="30"/>
          <w:lang w:val="en-US" w:eastAsia="zh-CN"/>
        </w:rPr>
        <w:t>（一）“蓝天保卫战”向纵深推进。淘汰老旧柴油货车58辆、非道路移动机械及老旧农机具261台套，推广新能源车辆270辆。完成6家砖厂升级、2家砖厂和43台锅炉淘汰及7家加油站油气回收改造。秸秆禁烧与综合利用协同推进，“禁”的共识广泛形成。</w:t>
      </w:r>
    </w:p>
    <w:p w14:paraId="154B6C1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84" w:lineRule="auto"/>
        <w:ind w:left="34" w:right="96" w:firstLine="612"/>
        <w:jc w:val="both"/>
        <w:textAlignment w:val="baseline"/>
        <w:rPr>
          <w:rFonts w:hint="default" w:ascii="仿宋" w:hAnsi="仿宋" w:eastAsia="仿宋" w:cs="仿宋"/>
          <w:spacing w:val="-4"/>
          <w:sz w:val="30"/>
          <w:szCs w:val="30"/>
          <w:lang w:val="en-US" w:eastAsia="zh-CN"/>
        </w:rPr>
      </w:pPr>
      <w:r>
        <w:rPr>
          <w:rFonts w:hint="default" w:ascii="仿宋" w:hAnsi="仿宋" w:eastAsia="仿宋" w:cs="仿宋"/>
          <w:spacing w:val="-4"/>
          <w:sz w:val="30"/>
          <w:szCs w:val="30"/>
          <w:lang w:val="en-US" w:eastAsia="zh-CN"/>
        </w:rPr>
        <w:t>（二）“碧水保卫战”向源头拓展。实施4个汨罗江总磷污染控制与削减攻坚项目，完成山水林田湖草沙项目市县验收。排查整治入河排污口，284个排口完成监测溯源，6个问题排口整治到位。加强饮用水源地保护与评估，完成10个镇级水源地整治。城区雨污分流改造管网80公里，累计建设排水管网380公里。</w:t>
      </w:r>
    </w:p>
    <w:p w14:paraId="18E718D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84" w:lineRule="auto"/>
        <w:ind w:left="34" w:right="96" w:firstLine="612"/>
        <w:jc w:val="both"/>
        <w:textAlignment w:val="baseline"/>
        <w:rPr>
          <w:rFonts w:hint="default" w:ascii="仿宋" w:hAnsi="仿宋" w:eastAsia="仿宋" w:cs="仿宋"/>
          <w:spacing w:val="-4"/>
          <w:sz w:val="30"/>
          <w:szCs w:val="30"/>
          <w:lang w:val="en-US" w:eastAsia="zh-CN"/>
        </w:rPr>
      </w:pPr>
      <w:r>
        <w:rPr>
          <w:rFonts w:hint="default" w:ascii="仿宋" w:hAnsi="仿宋" w:eastAsia="仿宋" w:cs="仿宋"/>
          <w:spacing w:val="-4"/>
          <w:sz w:val="30"/>
          <w:szCs w:val="30"/>
          <w:lang w:val="en-US" w:eastAsia="zh-CN"/>
        </w:rPr>
        <w:t>（三）“净土保卫战”向精准发力。完成29个地块土壤环境调查。启动2个历史遗留重金属废渣整治项目。完成61个行政村农村环境整治，治理率超50%。规模养殖场粪污处理设施配套率100%，推广测土配方施肥143万亩。</w:t>
      </w:r>
    </w:p>
    <w:p w14:paraId="17E5094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84" w:lineRule="auto"/>
        <w:ind w:left="34" w:right="96" w:firstLine="612"/>
        <w:jc w:val="both"/>
        <w:textAlignment w:val="baseline"/>
        <w:rPr>
          <w:rFonts w:hint="default" w:ascii="仿宋" w:hAnsi="仿宋" w:eastAsia="仿宋" w:cs="仿宋"/>
          <w:spacing w:val="-4"/>
          <w:sz w:val="30"/>
          <w:szCs w:val="30"/>
          <w:lang w:val="en-US" w:eastAsia="zh-CN"/>
        </w:rPr>
      </w:pPr>
      <w:r>
        <w:rPr>
          <w:rFonts w:hint="default" w:ascii="仿宋" w:hAnsi="仿宋" w:eastAsia="仿宋" w:cs="仿宋"/>
          <w:spacing w:val="-4"/>
          <w:sz w:val="30"/>
          <w:szCs w:val="30"/>
          <w:lang w:val="en-US" w:eastAsia="zh-CN"/>
        </w:rPr>
        <w:t>（四）开展系列专项执法行动，全年立案查处28起，移送行政拘留1起、刑事立案1起，保持执法高压态势。规范化管理督查考核全覆盖，安全转移危险废物2382吨（含医疗废物523吨），辐射环境安全可控。运用信息化手段精准监控舆情信访，全年受理办结环境信访202件。健全应急预案体系，开展应急演练，妥善处置突发环境事件，应急能力有效提升。</w:t>
      </w:r>
    </w:p>
    <w:p w14:paraId="1E69420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84" w:lineRule="auto"/>
        <w:ind w:left="34" w:right="96" w:firstLine="612"/>
        <w:jc w:val="both"/>
        <w:textAlignment w:val="baseline"/>
        <w:rPr>
          <w:rFonts w:hint="default" w:ascii="仿宋" w:hAnsi="仿宋" w:eastAsia="仿宋" w:cs="仿宋"/>
          <w:spacing w:val="-4"/>
          <w:sz w:val="30"/>
          <w:szCs w:val="30"/>
          <w:lang w:val="en-US" w:eastAsia="zh-CN"/>
        </w:rPr>
      </w:pPr>
      <w:r>
        <w:rPr>
          <w:rFonts w:hint="default" w:ascii="仿宋" w:hAnsi="仿宋" w:eastAsia="仿宋" w:cs="仿宋"/>
          <w:spacing w:val="-4"/>
          <w:sz w:val="30"/>
          <w:szCs w:val="30"/>
          <w:lang w:val="en-US" w:eastAsia="zh-CN"/>
        </w:rPr>
        <w:t>（五）高效完成建设项目审批49个、排污许可证核发109家。免罚环境违法案15件，金额达120.7万。细化乡镇环保履职清单，推动责任向基层延伸。争取中央、省级项目7个，国家生态主体功能区考核继续保持稳定向好，争资达到1.896亿元，多个治理修复项目进入中央项目库。</w:t>
      </w:r>
    </w:p>
    <w:p w14:paraId="0A3E9CA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84" w:lineRule="auto"/>
        <w:ind w:left="34" w:right="96" w:firstLine="612"/>
        <w:jc w:val="both"/>
        <w:textAlignment w:val="baseline"/>
        <w:rPr>
          <w:rFonts w:hint="default" w:ascii="仿宋" w:hAnsi="仿宋" w:eastAsia="仿宋" w:cs="仿宋"/>
          <w:spacing w:val="-4"/>
          <w:sz w:val="30"/>
          <w:szCs w:val="30"/>
          <w:lang w:val="en-US" w:eastAsia="zh-CN"/>
        </w:rPr>
      </w:pPr>
      <w:r>
        <w:rPr>
          <w:rFonts w:hint="default" w:ascii="仿宋" w:hAnsi="仿宋" w:eastAsia="仿宋" w:cs="仿宋"/>
          <w:spacing w:val="-4"/>
          <w:sz w:val="30"/>
          <w:szCs w:val="30"/>
          <w:lang w:val="en-US" w:eastAsia="zh-CN"/>
        </w:rPr>
        <w:t>（六）全力配合巡察整改，省厅巡察反馈5方面11个问题已全部整改到位，派驻纪检组驻点帮扶反馈的5方面15个问题已完成整改12个，3个达到阶段性销号标准。</w:t>
      </w:r>
    </w:p>
    <w:p w14:paraId="356ADE33">
      <w:pPr>
        <w:spacing w:before="73" w:line="227" w:lineRule="auto"/>
        <w:ind w:left="666"/>
        <w:outlineLvl w:val="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9"/>
          <w:sz w:val="31"/>
          <w:szCs w:val="31"/>
        </w:rPr>
        <w:t>七、存在的问题及原因分析</w:t>
      </w:r>
    </w:p>
    <w:p w14:paraId="7FE2ADDE">
      <w:pPr>
        <w:spacing w:before="182" w:line="384" w:lineRule="auto"/>
        <w:ind w:left="33" w:right="77" w:firstLine="605"/>
        <w:jc w:val="both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pacing w:val="-1"/>
          <w:sz w:val="30"/>
          <w:szCs w:val="30"/>
        </w:rPr>
        <w:t>少数干部理论学习的系统性、转化力有待提升；环境污染治理的精准性、科学性有待增强；在环境应急专业化能力与风险形势要求上仍存在差距；全面从严治党压力传导仍存在“温差”。</w:t>
      </w:r>
    </w:p>
    <w:p w14:paraId="5D7AB2F2">
      <w:pPr>
        <w:spacing w:before="77" w:line="227" w:lineRule="auto"/>
        <w:ind w:left="667"/>
        <w:outlineLvl w:val="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八、下一步改进措施</w:t>
      </w:r>
    </w:p>
    <w:p w14:paraId="2BDB9149">
      <w:pPr>
        <w:spacing w:before="182" w:line="384" w:lineRule="auto"/>
        <w:ind w:left="33" w:right="103" w:firstLine="600"/>
        <w:jc w:val="both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加强财务管理，严格财务审批。在费用报账支付时，按照预</w:t>
      </w:r>
      <w:r>
        <w:rPr>
          <w:rFonts w:ascii="仿宋" w:hAnsi="仿宋" w:eastAsia="仿宋" w:cs="仿宋"/>
          <w:spacing w:val="-4"/>
          <w:sz w:val="30"/>
          <w:szCs w:val="30"/>
        </w:rPr>
        <w:t>算规定的费用项目和用途进行资金使用、审核，列报支付，</w:t>
      </w:r>
      <w:r>
        <w:rPr>
          <w:rFonts w:ascii="仿宋" w:hAnsi="仿宋" w:eastAsia="仿宋" w:cs="仿宋"/>
          <w:spacing w:val="-5"/>
          <w:sz w:val="30"/>
          <w:szCs w:val="30"/>
        </w:rPr>
        <w:t>财务</w:t>
      </w:r>
      <w:r>
        <w:rPr>
          <w:rFonts w:ascii="仿宋" w:hAnsi="仿宋" w:eastAsia="仿宋" w:cs="仿宋"/>
          <w:spacing w:val="-2"/>
          <w:sz w:val="30"/>
          <w:szCs w:val="30"/>
        </w:rPr>
        <w:t>核算杜绝超支现象的发生。</w:t>
      </w:r>
      <w:r>
        <w:rPr>
          <w:rFonts w:ascii="仿宋" w:hAnsi="仿宋" w:eastAsia="仿宋" w:cs="仿宋"/>
          <w:spacing w:val="-5"/>
          <w:sz w:val="30"/>
          <w:szCs w:val="30"/>
        </w:rPr>
        <w:t>加强培训。</w:t>
      </w:r>
      <w:r>
        <w:rPr>
          <w:rFonts w:ascii="仿宋" w:hAnsi="仿宋" w:eastAsia="仿宋" w:cs="仿宋"/>
          <w:spacing w:val="-4"/>
          <w:sz w:val="30"/>
          <w:szCs w:val="30"/>
        </w:rPr>
        <w:t>组织开展部门之间、单位之间的经验交流，特别</w:t>
      </w:r>
      <w:r>
        <w:rPr>
          <w:rFonts w:ascii="仿宋" w:hAnsi="仿宋" w:eastAsia="仿宋" w:cs="仿宋"/>
          <w:spacing w:val="-5"/>
          <w:sz w:val="30"/>
          <w:szCs w:val="30"/>
        </w:rPr>
        <w:t>是要组织非</w:t>
      </w:r>
      <w:r>
        <w:rPr>
          <w:rFonts w:ascii="仿宋" w:hAnsi="仿宋" w:eastAsia="仿宋" w:cs="仿宋"/>
          <w:spacing w:val="-3"/>
          <w:sz w:val="30"/>
          <w:szCs w:val="30"/>
        </w:rPr>
        <w:t>财务部门的人员参与评价工作，切实推进绩效评价工作的开展。</w:t>
      </w:r>
    </w:p>
    <w:p w14:paraId="126D34CB">
      <w:pPr>
        <w:spacing w:before="2" w:line="383" w:lineRule="auto"/>
        <w:ind w:left="31" w:firstLine="602"/>
        <w:rPr>
          <w:rFonts w:hint="eastAsia" w:ascii="仿宋" w:hAnsi="仿宋" w:eastAsia="仿宋" w:cs="仿宋"/>
          <w:spacing w:val="-12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pacing w:val="-12"/>
          <w:sz w:val="30"/>
          <w:szCs w:val="30"/>
        </w:rPr>
        <w:t>坚决贯彻市局党组和县委、县政府的决策部署，持续强化党的理论学习，扎实抓好全面从严治党，锚定美丽乡村先行区建设目标，巩固拓展好全国生态文明建设示范区成果，扎实推进好中央、省级生态环保督察问题整改，持续深入推进蓝天、碧水、净土保卫战，为全市生态环境质量持续改善、建设美丽岳阳贡献力量</w:t>
      </w:r>
      <w:r>
        <w:rPr>
          <w:rFonts w:hint="eastAsia" w:ascii="仿宋" w:hAnsi="仿宋" w:eastAsia="仿宋" w:cs="仿宋"/>
          <w:spacing w:val="-12"/>
          <w:sz w:val="30"/>
          <w:szCs w:val="30"/>
          <w:lang w:eastAsia="zh-CN"/>
        </w:rPr>
        <w:t>。</w:t>
      </w:r>
    </w:p>
    <w:p w14:paraId="0821AAAD">
      <w:pPr>
        <w:pStyle w:val="2"/>
      </w:pPr>
    </w:p>
    <w:p w14:paraId="29E62769">
      <w:pPr>
        <w:spacing w:before="79" w:line="226" w:lineRule="auto"/>
        <w:ind w:left="674"/>
        <w:outlineLvl w:val="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9"/>
          <w:sz w:val="31"/>
          <w:szCs w:val="31"/>
        </w:rPr>
        <w:t>九、部门整体支出绩效自评结果拟应用和公开情况</w:t>
      </w:r>
    </w:p>
    <w:p w14:paraId="3DA8469C">
      <w:pPr>
        <w:spacing w:before="276" w:line="394" w:lineRule="auto"/>
        <w:ind w:left="35" w:right="22" w:firstLine="60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本单位高度重视此项绩效自评工作，积极落实主体责任，切</w:t>
      </w:r>
      <w:r>
        <w:rPr>
          <w:rFonts w:ascii="仿宋" w:hAnsi="仿宋" w:eastAsia="仿宋" w:cs="仿宋"/>
          <w:spacing w:val="-12"/>
          <w:sz w:val="30"/>
          <w:szCs w:val="30"/>
        </w:rPr>
        <w:t>实加强组织领导，按照绩效评价相关制度规定，明确具体责任人，</w:t>
      </w:r>
      <w:r>
        <w:rPr>
          <w:rFonts w:ascii="仿宋" w:hAnsi="仿宋" w:eastAsia="仿宋" w:cs="仿宋"/>
          <w:spacing w:val="-4"/>
          <w:sz w:val="30"/>
          <w:szCs w:val="30"/>
        </w:rPr>
        <w:t>认真开展自评，撰写了此份绩效评价报告，确保绩效自</w:t>
      </w:r>
      <w:r>
        <w:rPr>
          <w:rFonts w:ascii="仿宋" w:hAnsi="仿宋" w:eastAsia="仿宋" w:cs="仿宋"/>
          <w:spacing w:val="-5"/>
          <w:sz w:val="30"/>
          <w:szCs w:val="30"/>
        </w:rPr>
        <w:t>评工作</w:t>
      </w:r>
      <w:r>
        <w:rPr>
          <w:rFonts w:ascii="仿宋" w:hAnsi="仿宋" w:eastAsia="仿宋" w:cs="仿宋"/>
          <w:spacing w:val="-2"/>
          <w:sz w:val="30"/>
          <w:szCs w:val="30"/>
        </w:rPr>
        <w:t>利实施，并将按照要求进行信息公开，对存</w:t>
      </w:r>
      <w:r>
        <w:rPr>
          <w:rFonts w:ascii="仿宋" w:hAnsi="仿宋" w:eastAsia="仿宋" w:cs="仿宋"/>
          <w:spacing w:val="-3"/>
          <w:sz w:val="30"/>
          <w:szCs w:val="30"/>
        </w:rPr>
        <w:t>在的问题积极整改。</w:t>
      </w:r>
    </w:p>
    <w:p w14:paraId="48272214">
      <w:pPr>
        <w:spacing w:before="268" w:line="226" w:lineRule="auto"/>
        <w:ind w:left="450"/>
        <w:outlineLvl w:val="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十、其他需要说明的情况</w:t>
      </w:r>
    </w:p>
    <w:p w14:paraId="0BC694A5">
      <w:pPr>
        <w:spacing w:before="183" w:line="225" w:lineRule="auto"/>
        <w:ind w:left="637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12"/>
          <w:sz w:val="30"/>
          <w:szCs w:val="30"/>
        </w:rPr>
        <w:t>无。</w:t>
      </w:r>
    </w:p>
    <w:p w14:paraId="46358D5A">
      <w:pPr>
        <w:pStyle w:val="2"/>
        <w:spacing w:line="265" w:lineRule="auto"/>
      </w:pPr>
    </w:p>
    <w:p w14:paraId="26A56679">
      <w:pPr>
        <w:pStyle w:val="2"/>
        <w:spacing w:line="265" w:lineRule="auto"/>
      </w:pPr>
    </w:p>
    <w:p w14:paraId="6D7A27AD">
      <w:pPr>
        <w:pStyle w:val="2"/>
        <w:spacing w:line="266" w:lineRule="auto"/>
      </w:pPr>
    </w:p>
    <w:p w14:paraId="4AA0A809">
      <w:pPr>
        <w:pStyle w:val="2"/>
        <w:spacing w:line="266" w:lineRule="auto"/>
      </w:pPr>
    </w:p>
    <w:p w14:paraId="3BB40D07">
      <w:pPr>
        <w:pStyle w:val="2"/>
        <w:spacing w:line="266" w:lineRule="auto"/>
      </w:pPr>
    </w:p>
    <w:p w14:paraId="5325020B">
      <w:pPr>
        <w:pStyle w:val="2"/>
        <w:spacing w:line="266" w:lineRule="auto"/>
      </w:pPr>
    </w:p>
    <w:p w14:paraId="21483E4E">
      <w:pPr>
        <w:pStyle w:val="2"/>
        <w:spacing w:line="266" w:lineRule="auto"/>
      </w:pPr>
    </w:p>
    <w:p w14:paraId="55A56085">
      <w:pPr>
        <w:pStyle w:val="2"/>
        <w:spacing w:line="266" w:lineRule="auto"/>
      </w:pPr>
    </w:p>
    <w:p w14:paraId="7DDBD19C">
      <w:pPr>
        <w:spacing w:before="101" w:line="222" w:lineRule="auto"/>
        <w:ind w:left="67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报告需要以下附件：</w:t>
      </w:r>
    </w:p>
    <w:p w14:paraId="2E4F18B0">
      <w:pPr>
        <w:spacing w:before="267" w:line="222" w:lineRule="auto"/>
        <w:ind w:left="68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1.部门整体支出绩效评价基础数据表</w:t>
      </w:r>
    </w:p>
    <w:p w14:paraId="1482E903">
      <w:pPr>
        <w:spacing w:before="266" w:line="222" w:lineRule="auto"/>
        <w:ind w:left="67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2.部门整体支出绩效自评表</w:t>
      </w:r>
    </w:p>
    <w:p w14:paraId="199BF0E3">
      <w:pPr>
        <w:spacing w:before="269" w:line="222" w:lineRule="auto"/>
        <w:ind w:left="69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3.项目支出绩效自评表</w:t>
      </w:r>
    </w:p>
    <w:p w14:paraId="19043498">
      <w:pPr>
        <w:spacing w:before="268" w:line="221" w:lineRule="auto"/>
        <w:ind w:left="682"/>
        <w:rPr>
          <w:rFonts w:ascii="仿宋" w:hAnsi="仿宋" w:eastAsia="仿宋" w:cs="仿宋"/>
          <w:sz w:val="31"/>
          <w:szCs w:val="31"/>
        </w:rPr>
      </w:pPr>
    </w:p>
    <w:sectPr>
      <w:pgSz w:w="11906" w:h="16839"/>
      <w:pgMar w:top="1431" w:right="1750" w:bottom="1429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8F45CF9"/>
    <w:rsid w:val="21004E0A"/>
    <w:rsid w:val="26E712DA"/>
    <w:rsid w:val="3B053544"/>
    <w:rsid w:val="3D785FFC"/>
    <w:rsid w:val="45755E80"/>
    <w:rsid w:val="465A3B01"/>
    <w:rsid w:val="4D524749"/>
    <w:rsid w:val="64EF4547"/>
    <w:rsid w:val="7FA5518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13</Pages>
  <Words>1762</Words>
  <Characters>2085</Characters>
  <TotalTime>29</TotalTime>
  <ScaleCrop>false</ScaleCrop>
  <LinksUpToDate>false</LinksUpToDate>
  <CharactersWithSpaces>2187</CharactersWithSpaces>
  <Application>WPS Office_12.1.0.26375_F1E327BC-269C-435d-A152-05C5408002CA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2024-06-25T17:46:00Z</dcterms:created>
  <dc:creator>Administrator</dc:creator>
  <cp:lastModifiedBy>李晨</cp:lastModifiedBy>
  <dcterms:modified xsi:type="dcterms:W3CDTF">2026-06-04T02:26:40Z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2025-06-18T08:13:55Z</vt:filetime>
  </property>
  <property fmtid="{D5CDD505-2E9C-101B-9397-08002B2CF9AE}" pid="4" name="KSOTemplateDocerSaveRecord">
    <vt:lpwstr>eyJoZGlkIjoiYTI1ZWRhODIzZjNkMzE5ODI3Y2UwZTM2NjQ3YjE4YjIiLCJ1c2VySWQiOiIyNDA2NTM0MjMifQ==</vt:lpwstr>
  </property>
  <property fmtid="{D5CDD505-2E9C-101B-9397-08002B2CF9AE}" pid="5" name="KSOProductBuildVer">
    <vt:lpwstr>2052-12.1.0.26375</vt:lpwstr>
  </property>
  <property fmtid="{D5CDD505-2E9C-101B-9397-08002B2CF9AE}" pid="6" name="ICV">
    <vt:lpwstr>D36B03A37AEC45D1832889F8567BA2A0_12</vt:lpwstr>
  </property>
</Properties>
</file>