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5742B">
      <w:pP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65410AED">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7"/>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631FD6A2">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6C97856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1BD32B71">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7FCA1060">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67981F19">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0A37521B">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232F3195">
            <w:pPr>
              <w:widowControl/>
              <w:spacing w:line="360" w:lineRule="exact"/>
              <w:jc w:val="left"/>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782140D9">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10</w:t>
            </w:r>
          </w:p>
        </w:tc>
        <w:tc>
          <w:tcPr>
            <w:tcW w:w="2240" w:type="dxa"/>
            <w:gridSpan w:val="2"/>
            <w:tcBorders>
              <w:top w:val="single" w:color="auto" w:sz="4" w:space="0"/>
              <w:left w:val="nil"/>
              <w:bottom w:val="single" w:color="auto" w:sz="4" w:space="0"/>
              <w:right w:val="single" w:color="auto" w:sz="4" w:space="0"/>
            </w:tcBorders>
            <w:noWrap w:val="0"/>
            <w:vAlign w:val="center"/>
          </w:tcPr>
          <w:p w14:paraId="44FC68D5">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10</w:t>
            </w:r>
          </w:p>
        </w:tc>
        <w:tc>
          <w:tcPr>
            <w:tcW w:w="2041" w:type="dxa"/>
            <w:gridSpan w:val="2"/>
            <w:tcBorders>
              <w:top w:val="single" w:color="auto" w:sz="4" w:space="0"/>
              <w:left w:val="nil"/>
              <w:bottom w:val="single" w:color="auto" w:sz="4" w:space="0"/>
              <w:right w:val="single" w:color="auto" w:sz="4" w:space="0"/>
            </w:tcBorders>
            <w:noWrap w:val="0"/>
            <w:vAlign w:val="center"/>
          </w:tcPr>
          <w:p w14:paraId="083465B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100.00%</w:t>
            </w:r>
            <w:r>
              <w:rPr>
                <w:rFonts w:hint="eastAsia" w:ascii="仿宋_GB2312" w:hAnsi="仿宋_GB2312" w:eastAsia="仿宋_GB2312" w:cs="仿宋_GB2312"/>
                <w:sz w:val="20"/>
                <w:szCs w:val="20"/>
                <w:highlight w:val="none"/>
              </w:rPr>
              <w:t>　</w:t>
            </w:r>
          </w:p>
        </w:tc>
      </w:tr>
      <w:tr w14:paraId="4CBE8E0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416AF4C">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4E32F92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7AC800FE">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2C877DC0">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63052AB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F479DE2">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61EAA62">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2.38</w:t>
            </w:r>
          </w:p>
        </w:tc>
        <w:tc>
          <w:tcPr>
            <w:tcW w:w="2240" w:type="dxa"/>
            <w:gridSpan w:val="2"/>
            <w:tcBorders>
              <w:top w:val="single" w:color="auto" w:sz="4" w:space="0"/>
              <w:left w:val="nil"/>
              <w:bottom w:val="single" w:color="auto" w:sz="4" w:space="0"/>
              <w:right w:val="single" w:color="000000" w:sz="4" w:space="0"/>
            </w:tcBorders>
            <w:noWrap w:val="0"/>
            <w:vAlign w:val="center"/>
          </w:tcPr>
          <w:p w14:paraId="09E3837A">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14:paraId="5E009C09">
            <w:pPr>
              <w:widowControl/>
              <w:spacing w:line="360" w:lineRule="exact"/>
              <w:jc w:val="center"/>
              <w:rPr>
                <w:rFonts w:hint="default"/>
                <w:lang w:val="en-US" w:eastAsia="zh-CN"/>
              </w:rPr>
            </w:pPr>
            <w:r>
              <w:rPr>
                <w:rFonts w:hint="eastAsia" w:ascii="仿宋_GB2312" w:hAnsi="仿宋_GB2312" w:eastAsia="仿宋_GB2312" w:cs="仿宋_GB2312"/>
                <w:sz w:val="20"/>
                <w:szCs w:val="20"/>
                <w:highlight w:val="none"/>
                <w:lang w:val="en-US" w:eastAsia="zh-CN"/>
              </w:rPr>
              <w:t>2.38</w:t>
            </w:r>
          </w:p>
        </w:tc>
      </w:tr>
      <w:tr w14:paraId="3F5F8FB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0D5CD8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620D521">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2.38</w:t>
            </w:r>
          </w:p>
        </w:tc>
        <w:tc>
          <w:tcPr>
            <w:tcW w:w="2240" w:type="dxa"/>
            <w:gridSpan w:val="2"/>
            <w:tcBorders>
              <w:top w:val="single" w:color="auto" w:sz="4" w:space="0"/>
              <w:left w:val="nil"/>
              <w:bottom w:val="single" w:color="auto" w:sz="4" w:space="0"/>
              <w:right w:val="single" w:color="000000" w:sz="4" w:space="0"/>
            </w:tcBorders>
            <w:noWrap w:val="0"/>
            <w:vAlign w:val="center"/>
          </w:tcPr>
          <w:p w14:paraId="7A50EAA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w:t>
            </w:r>
          </w:p>
        </w:tc>
        <w:tc>
          <w:tcPr>
            <w:tcW w:w="2041" w:type="dxa"/>
            <w:gridSpan w:val="2"/>
            <w:tcBorders>
              <w:top w:val="single" w:color="auto" w:sz="4" w:space="0"/>
              <w:left w:val="nil"/>
              <w:bottom w:val="single" w:color="auto" w:sz="4" w:space="0"/>
              <w:right w:val="single" w:color="000000" w:sz="4" w:space="0"/>
            </w:tcBorders>
            <w:noWrap w:val="0"/>
            <w:vAlign w:val="center"/>
          </w:tcPr>
          <w:p w14:paraId="2E8844FF">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2.38</w:t>
            </w:r>
          </w:p>
        </w:tc>
      </w:tr>
      <w:tr w14:paraId="049414B9">
        <w:tblPrEx>
          <w:tblCellMar>
            <w:top w:w="0" w:type="dxa"/>
            <w:left w:w="108" w:type="dxa"/>
            <w:bottom w:w="0" w:type="dxa"/>
            <w:right w:w="108" w:type="dxa"/>
          </w:tblCellMar>
        </w:tblPrEx>
        <w:trPr>
          <w:trHeight w:val="37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6CA280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31867F96">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9B577E0">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49427A5">
            <w:pPr>
              <w:widowControl/>
              <w:spacing w:line="360" w:lineRule="exact"/>
              <w:jc w:val="center"/>
              <w:rPr>
                <w:rFonts w:hint="eastAsia" w:ascii="仿宋_GB2312" w:hAnsi="仿宋_GB2312" w:eastAsia="仿宋_GB2312" w:cs="仿宋_GB2312"/>
                <w:sz w:val="20"/>
                <w:szCs w:val="20"/>
                <w:highlight w:val="none"/>
              </w:rPr>
            </w:pPr>
          </w:p>
        </w:tc>
      </w:tr>
      <w:tr w14:paraId="2960677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FB3223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4FDB7896">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highlight w:val="none"/>
                <w:lang w:val="en-US" w:eastAsia="zh-CN" w:bidi="ar-SA"/>
              </w:rPr>
              <w:t>2.38</w:t>
            </w:r>
          </w:p>
        </w:tc>
        <w:tc>
          <w:tcPr>
            <w:tcW w:w="2240" w:type="dxa"/>
            <w:gridSpan w:val="2"/>
            <w:tcBorders>
              <w:top w:val="single" w:color="auto" w:sz="4" w:space="0"/>
              <w:left w:val="nil"/>
              <w:bottom w:val="single" w:color="auto" w:sz="4" w:space="0"/>
              <w:right w:val="single" w:color="000000" w:sz="4" w:space="0"/>
            </w:tcBorders>
            <w:noWrap w:val="0"/>
            <w:vAlign w:val="center"/>
          </w:tcPr>
          <w:p w14:paraId="25869CC9">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3</w:t>
            </w:r>
          </w:p>
        </w:tc>
        <w:tc>
          <w:tcPr>
            <w:tcW w:w="2041" w:type="dxa"/>
            <w:gridSpan w:val="2"/>
            <w:tcBorders>
              <w:top w:val="single" w:color="auto" w:sz="4" w:space="0"/>
              <w:left w:val="nil"/>
              <w:bottom w:val="single" w:color="auto" w:sz="4" w:space="0"/>
              <w:right w:val="single" w:color="000000" w:sz="4" w:space="0"/>
            </w:tcBorders>
            <w:noWrap w:val="0"/>
            <w:vAlign w:val="center"/>
          </w:tcPr>
          <w:p w14:paraId="36D61EC0">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2.38</w:t>
            </w:r>
          </w:p>
        </w:tc>
      </w:tr>
      <w:tr w14:paraId="5411B3D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7EFA51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677CB96">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2F2FC21">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67924DB">
            <w:pPr>
              <w:widowControl/>
              <w:spacing w:line="360" w:lineRule="exact"/>
              <w:jc w:val="center"/>
              <w:rPr>
                <w:rFonts w:hint="eastAsia" w:ascii="仿宋_GB2312" w:hAnsi="仿宋_GB2312" w:eastAsia="仿宋_GB2312" w:cs="仿宋_GB2312"/>
                <w:sz w:val="20"/>
                <w:szCs w:val="20"/>
                <w:highlight w:val="none"/>
              </w:rPr>
            </w:pPr>
          </w:p>
        </w:tc>
      </w:tr>
      <w:tr w14:paraId="03D751B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5E504C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716FC8B3">
            <w:pPr>
              <w:widowControl/>
              <w:spacing w:line="360" w:lineRule="exact"/>
              <w:jc w:val="center"/>
              <w:rPr>
                <w:rFonts w:hint="eastAsia" w:ascii="仿宋_GB2312" w:hAnsi="仿宋_GB2312" w:eastAsia="仿宋_GB2312" w:cs="仿宋_GB2312"/>
                <w:color w:val="auto"/>
                <w:sz w:val="20"/>
                <w:szCs w:val="20"/>
                <w:highlight w:val="none"/>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1BC9C91">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0E1F466D">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17A7ADC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4C0F22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35CC0A26">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59.65</w:t>
            </w:r>
          </w:p>
        </w:tc>
        <w:tc>
          <w:tcPr>
            <w:tcW w:w="2240" w:type="dxa"/>
            <w:gridSpan w:val="2"/>
            <w:tcBorders>
              <w:top w:val="single" w:color="auto" w:sz="4" w:space="0"/>
              <w:left w:val="nil"/>
              <w:bottom w:val="single" w:color="auto" w:sz="4" w:space="0"/>
              <w:right w:val="single" w:color="000000" w:sz="4" w:space="0"/>
            </w:tcBorders>
            <w:noWrap w:val="0"/>
            <w:vAlign w:val="center"/>
          </w:tcPr>
          <w:p w14:paraId="202DC36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22.50</w:t>
            </w:r>
          </w:p>
        </w:tc>
        <w:tc>
          <w:tcPr>
            <w:tcW w:w="2041" w:type="dxa"/>
            <w:gridSpan w:val="2"/>
            <w:tcBorders>
              <w:top w:val="single" w:color="auto" w:sz="4" w:space="0"/>
              <w:left w:val="nil"/>
              <w:bottom w:val="single" w:color="auto" w:sz="4" w:space="0"/>
              <w:right w:val="single" w:color="000000" w:sz="4" w:space="0"/>
            </w:tcBorders>
            <w:noWrap w:val="0"/>
            <w:vAlign w:val="center"/>
          </w:tcPr>
          <w:p w14:paraId="1D0960AE">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36.75</w:t>
            </w:r>
          </w:p>
        </w:tc>
      </w:tr>
      <w:tr w14:paraId="003E7B4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1E3178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1、办案费支出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1F66953F">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1.55</w:t>
            </w:r>
          </w:p>
        </w:tc>
        <w:tc>
          <w:tcPr>
            <w:tcW w:w="2240" w:type="dxa"/>
            <w:gridSpan w:val="2"/>
            <w:tcBorders>
              <w:top w:val="single" w:color="auto" w:sz="4" w:space="0"/>
              <w:left w:val="nil"/>
              <w:bottom w:val="single" w:color="auto" w:sz="4" w:space="0"/>
              <w:right w:val="single" w:color="000000" w:sz="4" w:space="0"/>
            </w:tcBorders>
            <w:noWrap w:val="0"/>
            <w:vAlign w:val="center"/>
          </w:tcPr>
          <w:p w14:paraId="3E716EF5">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1CB7D91">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708640C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9B03B6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2、环境监测、监控及监察能力建设</w:t>
            </w:r>
          </w:p>
        </w:tc>
        <w:tc>
          <w:tcPr>
            <w:tcW w:w="2038" w:type="dxa"/>
            <w:gridSpan w:val="2"/>
            <w:tcBorders>
              <w:top w:val="single" w:color="auto" w:sz="4" w:space="0"/>
              <w:left w:val="nil"/>
              <w:bottom w:val="single" w:color="auto" w:sz="4" w:space="0"/>
              <w:right w:val="single" w:color="000000" w:sz="4" w:space="0"/>
            </w:tcBorders>
            <w:noWrap w:val="0"/>
            <w:vAlign w:val="center"/>
          </w:tcPr>
          <w:p w14:paraId="3F15CBC4">
            <w:pPr>
              <w:widowControl/>
              <w:spacing w:line="360" w:lineRule="exact"/>
              <w:jc w:val="center"/>
              <w:rPr>
                <w:rFonts w:hint="default" w:ascii="仿宋_GB2312" w:hAnsi="仿宋_GB2312" w:eastAsia="仿宋_GB2312" w:cs="仿宋_GB2312"/>
                <w:color w:val="auto"/>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9BC884D">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7D766C7">
            <w:pPr>
              <w:widowControl/>
              <w:spacing w:line="360" w:lineRule="exact"/>
              <w:jc w:val="center"/>
              <w:rPr>
                <w:rFonts w:hint="eastAsia" w:ascii="仿宋_GB2312" w:hAnsi="仿宋_GB2312" w:eastAsia="仿宋_GB2312" w:cs="仿宋_GB2312"/>
                <w:sz w:val="20"/>
                <w:szCs w:val="20"/>
                <w:highlight w:val="none"/>
              </w:rPr>
            </w:pPr>
          </w:p>
        </w:tc>
      </w:tr>
      <w:tr w14:paraId="3DCE94A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9DE032E">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sz w:val="20"/>
                <w:szCs w:val="20"/>
                <w:highlight w:val="none"/>
                <w:lang w:val="en-US" w:eastAsia="zh-CN"/>
              </w:rPr>
              <w:t>3、环境监察、监测等运行经费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3802751">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38.47</w:t>
            </w:r>
          </w:p>
        </w:tc>
        <w:tc>
          <w:tcPr>
            <w:tcW w:w="2240" w:type="dxa"/>
            <w:gridSpan w:val="2"/>
            <w:tcBorders>
              <w:top w:val="single" w:color="auto" w:sz="4" w:space="0"/>
              <w:left w:val="nil"/>
              <w:bottom w:val="single" w:color="auto" w:sz="4" w:space="0"/>
              <w:right w:val="single" w:color="000000" w:sz="4" w:space="0"/>
            </w:tcBorders>
            <w:noWrap w:val="0"/>
            <w:vAlign w:val="center"/>
          </w:tcPr>
          <w:p w14:paraId="584A6ED0">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0FEFCB4">
            <w:pPr>
              <w:widowControl/>
              <w:spacing w:line="360" w:lineRule="exact"/>
              <w:jc w:val="center"/>
              <w:rPr>
                <w:rFonts w:hint="default" w:ascii="仿宋_GB2312" w:hAnsi="仿宋_GB2312" w:eastAsia="仿宋_GB2312" w:cs="仿宋_GB2312"/>
                <w:color w:val="FF0000"/>
                <w:sz w:val="20"/>
                <w:szCs w:val="20"/>
                <w:highlight w:val="none"/>
                <w:lang w:val="en-US" w:eastAsia="zh-CN"/>
              </w:rPr>
            </w:pPr>
          </w:p>
        </w:tc>
      </w:tr>
      <w:tr w14:paraId="3A530A4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34E9C50">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rPr>
              <w:t>、上级环保专项资金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0F4C29A6">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13.00</w:t>
            </w:r>
          </w:p>
        </w:tc>
        <w:tc>
          <w:tcPr>
            <w:tcW w:w="2240" w:type="dxa"/>
            <w:gridSpan w:val="2"/>
            <w:tcBorders>
              <w:top w:val="single" w:color="auto" w:sz="4" w:space="0"/>
              <w:left w:val="nil"/>
              <w:bottom w:val="single" w:color="auto" w:sz="4" w:space="0"/>
              <w:right w:val="single" w:color="000000" w:sz="4" w:space="0"/>
            </w:tcBorders>
            <w:noWrap w:val="0"/>
            <w:vAlign w:val="center"/>
          </w:tcPr>
          <w:p w14:paraId="2CF0D4C2">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EAE8C83">
            <w:pPr>
              <w:widowControl/>
              <w:spacing w:line="360" w:lineRule="exact"/>
              <w:jc w:val="center"/>
              <w:rPr>
                <w:rFonts w:hint="default" w:ascii="仿宋_GB2312" w:hAnsi="仿宋_GB2312" w:eastAsia="仿宋_GB2312" w:cs="仿宋_GB2312"/>
                <w:color w:val="FF0000"/>
                <w:sz w:val="20"/>
                <w:szCs w:val="20"/>
                <w:highlight w:val="none"/>
                <w:lang w:val="en-US" w:eastAsia="zh-CN"/>
              </w:rPr>
            </w:pPr>
          </w:p>
        </w:tc>
      </w:tr>
      <w:tr w14:paraId="3E456E3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F107B45">
            <w:pPr>
              <w:widowControl/>
              <w:spacing w:line="36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color w:val="000000"/>
                <w:sz w:val="20"/>
                <w:szCs w:val="20"/>
                <w:highlight w:val="none"/>
                <w:lang w:val="en-US" w:eastAsia="zh-CN"/>
              </w:rPr>
              <w:t>5、罚没收入返还</w:t>
            </w:r>
          </w:p>
        </w:tc>
        <w:tc>
          <w:tcPr>
            <w:tcW w:w="2038" w:type="dxa"/>
            <w:gridSpan w:val="2"/>
            <w:tcBorders>
              <w:top w:val="single" w:color="auto" w:sz="4" w:space="0"/>
              <w:left w:val="nil"/>
              <w:bottom w:val="single" w:color="auto" w:sz="4" w:space="0"/>
              <w:right w:val="single" w:color="000000" w:sz="4" w:space="0"/>
            </w:tcBorders>
            <w:noWrap w:val="0"/>
            <w:vAlign w:val="center"/>
          </w:tcPr>
          <w:p w14:paraId="7E130F5B">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6.63</w:t>
            </w:r>
          </w:p>
        </w:tc>
        <w:tc>
          <w:tcPr>
            <w:tcW w:w="2240" w:type="dxa"/>
            <w:gridSpan w:val="2"/>
            <w:tcBorders>
              <w:top w:val="single" w:color="auto" w:sz="4" w:space="0"/>
              <w:left w:val="nil"/>
              <w:bottom w:val="single" w:color="auto" w:sz="4" w:space="0"/>
              <w:right w:val="single" w:color="000000" w:sz="4" w:space="0"/>
            </w:tcBorders>
            <w:noWrap w:val="0"/>
            <w:vAlign w:val="center"/>
          </w:tcPr>
          <w:p w14:paraId="584E7440">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7407F97">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232537E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2187BAB">
            <w:pPr>
              <w:widowControl/>
              <w:tabs>
                <w:tab w:val="left" w:pos="870"/>
              </w:tabs>
              <w:spacing w:line="360" w:lineRule="exact"/>
              <w:ind w:firstLine="400" w:firstLineChars="200"/>
              <w:jc w:val="left"/>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eastAsia="zh-CN"/>
              </w:rPr>
              <w:t>秸秆禁烧管控专项资金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54D9BEC5">
            <w:pPr>
              <w:widowControl/>
              <w:spacing w:line="360" w:lineRule="exact"/>
              <w:jc w:val="center"/>
              <w:rPr>
                <w:rFonts w:hint="eastAsia" w:ascii="仿宋_GB2312" w:hAnsi="仿宋_GB2312" w:eastAsia="仿宋_GB2312" w:cs="仿宋_GB2312"/>
                <w:color w:val="auto"/>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EC5E7A4">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0B6A8C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w:t>
            </w:r>
          </w:p>
        </w:tc>
      </w:tr>
      <w:tr w14:paraId="0AFA431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08168BD">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环境监察、监测等运行经费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3F58A2B">
            <w:pPr>
              <w:widowControl/>
              <w:spacing w:line="360" w:lineRule="exact"/>
              <w:jc w:val="center"/>
              <w:rPr>
                <w:rFonts w:hint="eastAsia" w:ascii="仿宋_GB2312" w:hAnsi="仿宋_GB2312" w:eastAsia="仿宋_GB2312" w:cs="仿宋_GB2312"/>
                <w:color w:val="auto"/>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B847963">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22.50</w:t>
            </w:r>
          </w:p>
        </w:tc>
        <w:tc>
          <w:tcPr>
            <w:tcW w:w="2041" w:type="dxa"/>
            <w:gridSpan w:val="2"/>
            <w:tcBorders>
              <w:top w:val="single" w:color="auto" w:sz="4" w:space="0"/>
              <w:left w:val="nil"/>
              <w:bottom w:val="single" w:color="auto" w:sz="4" w:space="0"/>
              <w:right w:val="single" w:color="000000" w:sz="4" w:space="0"/>
            </w:tcBorders>
            <w:noWrap w:val="0"/>
            <w:vAlign w:val="center"/>
          </w:tcPr>
          <w:p w14:paraId="370FD59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21.35</w:t>
            </w:r>
          </w:p>
        </w:tc>
      </w:tr>
      <w:tr w14:paraId="7E60F02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B7F94FC">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其他收入资金</w:t>
            </w:r>
          </w:p>
        </w:tc>
        <w:tc>
          <w:tcPr>
            <w:tcW w:w="2038" w:type="dxa"/>
            <w:gridSpan w:val="2"/>
            <w:tcBorders>
              <w:top w:val="single" w:color="auto" w:sz="4" w:space="0"/>
              <w:left w:val="nil"/>
              <w:bottom w:val="single" w:color="auto" w:sz="4" w:space="0"/>
              <w:right w:val="single" w:color="000000" w:sz="4" w:space="0"/>
            </w:tcBorders>
            <w:noWrap w:val="0"/>
            <w:vAlign w:val="center"/>
          </w:tcPr>
          <w:p w14:paraId="2652828D">
            <w:pPr>
              <w:widowControl/>
              <w:spacing w:line="360" w:lineRule="exact"/>
              <w:jc w:val="center"/>
              <w:rPr>
                <w:rFonts w:hint="eastAsia" w:ascii="仿宋_GB2312" w:hAnsi="仿宋_GB2312" w:eastAsia="仿宋_GB2312" w:cs="仿宋_GB2312"/>
                <w:color w:val="auto"/>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F638526">
            <w:pPr>
              <w:widowControl/>
              <w:spacing w:line="360" w:lineRule="exact"/>
              <w:jc w:val="center"/>
              <w:rPr>
                <w:rFonts w:hint="eastAsia" w:ascii="仿宋_GB2312" w:hAnsi="仿宋_GB2312" w:eastAsia="仿宋_GB2312" w:cs="仿宋_GB2312"/>
                <w:sz w:val="20"/>
                <w:szCs w:val="20"/>
                <w:highlight w:val="none"/>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BB06D84">
            <w:pPr>
              <w:widowControl/>
              <w:spacing w:line="360" w:lineRule="exact"/>
              <w:jc w:val="center"/>
              <w:rPr>
                <w:rFonts w:hint="default"/>
                <w:lang w:val="en-US" w:eastAsia="zh-CN"/>
              </w:rPr>
            </w:pPr>
            <w:r>
              <w:rPr>
                <w:rFonts w:hint="eastAsia" w:ascii="仿宋_GB2312" w:hAnsi="仿宋_GB2312" w:eastAsia="仿宋_GB2312" w:cs="仿宋_GB2312"/>
                <w:sz w:val="20"/>
                <w:szCs w:val="20"/>
                <w:highlight w:val="none"/>
                <w:lang w:val="en-US" w:eastAsia="zh-CN"/>
              </w:rPr>
              <w:t>11.40</w:t>
            </w:r>
          </w:p>
        </w:tc>
      </w:tr>
      <w:tr w14:paraId="5E414B6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4085CE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08F14E0">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71.84</w:t>
            </w:r>
          </w:p>
        </w:tc>
        <w:tc>
          <w:tcPr>
            <w:tcW w:w="2240" w:type="dxa"/>
            <w:gridSpan w:val="2"/>
            <w:tcBorders>
              <w:top w:val="single" w:color="auto" w:sz="4" w:space="0"/>
              <w:left w:val="nil"/>
              <w:bottom w:val="single" w:color="auto" w:sz="4" w:space="0"/>
              <w:right w:val="single" w:color="000000" w:sz="4" w:space="0"/>
            </w:tcBorders>
            <w:noWrap w:val="0"/>
            <w:vAlign w:val="center"/>
          </w:tcPr>
          <w:p w14:paraId="02C3C2A7">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17.63</w:t>
            </w:r>
          </w:p>
        </w:tc>
        <w:tc>
          <w:tcPr>
            <w:tcW w:w="2041" w:type="dxa"/>
            <w:gridSpan w:val="2"/>
            <w:tcBorders>
              <w:top w:val="single" w:color="auto" w:sz="4" w:space="0"/>
              <w:left w:val="nil"/>
              <w:bottom w:val="single" w:color="auto" w:sz="4" w:space="0"/>
              <w:right w:val="single" w:color="000000" w:sz="4" w:space="0"/>
            </w:tcBorders>
            <w:noWrap w:val="0"/>
            <w:vAlign w:val="center"/>
          </w:tcPr>
          <w:p w14:paraId="288938B1">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65.09</w:t>
            </w:r>
          </w:p>
        </w:tc>
      </w:tr>
      <w:tr w14:paraId="48A69A1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D76F95C">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326A362">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21.15</w:t>
            </w:r>
          </w:p>
        </w:tc>
        <w:tc>
          <w:tcPr>
            <w:tcW w:w="2240" w:type="dxa"/>
            <w:gridSpan w:val="2"/>
            <w:tcBorders>
              <w:top w:val="single" w:color="auto" w:sz="4" w:space="0"/>
              <w:left w:val="nil"/>
              <w:bottom w:val="single" w:color="auto" w:sz="4" w:space="0"/>
              <w:right w:val="single" w:color="000000" w:sz="4" w:space="0"/>
            </w:tcBorders>
            <w:noWrap w:val="0"/>
            <w:vAlign w:val="center"/>
          </w:tcPr>
          <w:p w14:paraId="103C3B39">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17.13</w:t>
            </w:r>
          </w:p>
        </w:tc>
        <w:tc>
          <w:tcPr>
            <w:tcW w:w="2041" w:type="dxa"/>
            <w:gridSpan w:val="2"/>
            <w:tcBorders>
              <w:top w:val="single" w:color="auto" w:sz="4" w:space="0"/>
              <w:left w:val="nil"/>
              <w:bottom w:val="single" w:color="auto" w:sz="4" w:space="0"/>
              <w:right w:val="single" w:color="000000" w:sz="4" w:space="0"/>
            </w:tcBorders>
            <w:noWrap w:val="0"/>
            <w:vAlign w:val="center"/>
          </w:tcPr>
          <w:p w14:paraId="688FB17C">
            <w:pPr>
              <w:widowControl/>
              <w:spacing w:line="360" w:lineRule="exact"/>
              <w:jc w:val="center"/>
              <w:rPr>
                <w:rFonts w:hint="default" w:ascii="仿宋_GB2312" w:hAnsi="仿宋_GB2312" w:eastAsia="仿宋_GB2312" w:cs="仿宋_GB2312"/>
                <w:color w:val="FF0000"/>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17.97</w:t>
            </w:r>
          </w:p>
        </w:tc>
      </w:tr>
      <w:tr w14:paraId="7FE7528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F10A902">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204D02FF">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1.11</w:t>
            </w:r>
          </w:p>
        </w:tc>
        <w:tc>
          <w:tcPr>
            <w:tcW w:w="2240" w:type="dxa"/>
            <w:gridSpan w:val="2"/>
            <w:tcBorders>
              <w:top w:val="single" w:color="auto" w:sz="4" w:space="0"/>
              <w:left w:val="nil"/>
              <w:bottom w:val="single" w:color="auto" w:sz="4" w:space="0"/>
              <w:right w:val="single" w:color="000000" w:sz="4" w:space="0"/>
            </w:tcBorders>
            <w:noWrap w:val="0"/>
            <w:vAlign w:val="center"/>
          </w:tcPr>
          <w:p w14:paraId="39439002">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0.5</w:t>
            </w:r>
          </w:p>
        </w:tc>
        <w:tc>
          <w:tcPr>
            <w:tcW w:w="2041" w:type="dxa"/>
            <w:gridSpan w:val="2"/>
            <w:tcBorders>
              <w:top w:val="single" w:color="auto" w:sz="4" w:space="0"/>
              <w:left w:val="nil"/>
              <w:bottom w:val="single" w:color="auto" w:sz="4" w:space="0"/>
              <w:right w:val="single" w:color="000000" w:sz="4" w:space="0"/>
            </w:tcBorders>
            <w:noWrap w:val="0"/>
            <w:vAlign w:val="center"/>
          </w:tcPr>
          <w:p w14:paraId="0B529867">
            <w:pPr>
              <w:widowControl/>
              <w:spacing w:line="360" w:lineRule="exact"/>
              <w:jc w:val="center"/>
              <w:rPr>
                <w:rFonts w:hint="default" w:ascii="仿宋_GB2312" w:hAnsi="仿宋_GB2312" w:eastAsia="仿宋_GB2312" w:cs="仿宋_GB2312"/>
                <w:color w:val="FF0000"/>
                <w:kern w:val="0"/>
                <w:sz w:val="20"/>
                <w:szCs w:val="20"/>
                <w:lang w:val="en-US" w:eastAsia="zh-CN" w:bidi="ar-SA"/>
              </w:rPr>
            </w:pPr>
            <w:r>
              <w:rPr>
                <w:rFonts w:hint="default" w:ascii="仿宋_GB2312" w:hAnsi="仿宋_GB2312" w:eastAsia="仿宋_GB2312" w:cs="仿宋_GB2312"/>
                <w:color w:val="auto"/>
                <w:kern w:val="0"/>
                <w:sz w:val="20"/>
                <w:szCs w:val="20"/>
                <w:lang w:val="en-US" w:eastAsia="zh-CN" w:bidi="ar-SA"/>
              </w:rPr>
              <w:t>0.28</w:t>
            </w:r>
          </w:p>
        </w:tc>
      </w:tr>
      <w:tr w14:paraId="1393DA8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19F6126">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59E7DF0F">
            <w:pPr>
              <w:widowControl/>
              <w:spacing w:line="360" w:lineRule="exact"/>
              <w:jc w:val="center"/>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kern w:val="0"/>
                <w:sz w:val="20"/>
                <w:szCs w:val="20"/>
                <w:lang w:val="en-US" w:eastAsia="zh-CN" w:bidi="ar-SA"/>
              </w:rPr>
              <w:t>0.47</w:t>
            </w:r>
          </w:p>
        </w:tc>
        <w:tc>
          <w:tcPr>
            <w:tcW w:w="2240" w:type="dxa"/>
            <w:gridSpan w:val="2"/>
            <w:tcBorders>
              <w:top w:val="single" w:color="auto" w:sz="4" w:space="0"/>
              <w:left w:val="nil"/>
              <w:bottom w:val="single" w:color="auto" w:sz="4" w:space="0"/>
              <w:right w:val="single" w:color="000000" w:sz="4" w:space="0"/>
            </w:tcBorders>
            <w:noWrap w:val="0"/>
            <w:vAlign w:val="center"/>
          </w:tcPr>
          <w:p w14:paraId="2891004C">
            <w:pPr>
              <w:widowControl/>
              <w:spacing w:line="360" w:lineRule="exact"/>
              <w:jc w:val="center"/>
              <w:rPr>
                <w:rFonts w:hint="default" w:ascii="仿宋_GB2312" w:hAnsi="仿宋_GB2312" w:eastAsia="仿宋_GB2312" w:cs="仿宋_GB2312"/>
                <w:color w:val="auto"/>
                <w:kern w:val="0"/>
                <w:sz w:val="20"/>
                <w:szCs w:val="20"/>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80B2026">
            <w:pPr>
              <w:widowControl/>
              <w:spacing w:line="360" w:lineRule="exact"/>
              <w:jc w:val="center"/>
              <w:rPr>
                <w:rFonts w:hint="default" w:ascii="仿宋_GB2312" w:hAnsi="仿宋_GB2312" w:eastAsia="仿宋_GB2312" w:cs="仿宋_GB2312"/>
                <w:color w:val="FF0000"/>
                <w:kern w:val="0"/>
                <w:sz w:val="20"/>
                <w:szCs w:val="20"/>
                <w:lang w:val="en-US" w:eastAsia="zh-CN" w:bidi="ar-SA"/>
              </w:rPr>
            </w:pPr>
          </w:p>
        </w:tc>
      </w:tr>
      <w:tr w14:paraId="08414DE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C65B392">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4A238651">
            <w:pPr>
              <w:widowControl/>
              <w:spacing w:line="360" w:lineRule="exact"/>
              <w:jc w:val="center"/>
              <w:rPr>
                <w:rFonts w:hint="eastAsia"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sz w:val="20"/>
                <w:szCs w:val="20"/>
                <w:highlight w:val="none"/>
                <w:lang w:val="en-US" w:eastAsia="zh-CN"/>
              </w:rPr>
              <w:t>99.32</w:t>
            </w:r>
          </w:p>
        </w:tc>
        <w:tc>
          <w:tcPr>
            <w:tcW w:w="2240" w:type="dxa"/>
            <w:gridSpan w:val="2"/>
            <w:tcBorders>
              <w:top w:val="single" w:color="auto" w:sz="4" w:space="0"/>
              <w:left w:val="nil"/>
              <w:bottom w:val="single" w:color="auto" w:sz="4" w:space="0"/>
              <w:right w:val="single" w:color="000000" w:sz="4" w:space="0"/>
            </w:tcBorders>
            <w:noWrap w:val="0"/>
            <w:vAlign w:val="center"/>
          </w:tcPr>
          <w:p w14:paraId="1C8FAC8E">
            <w:pPr>
              <w:widowControl/>
              <w:spacing w:line="360" w:lineRule="exact"/>
              <w:jc w:val="center"/>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94.18</w:t>
            </w:r>
          </w:p>
        </w:tc>
        <w:tc>
          <w:tcPr>
            <w:tcW w:w="2041" w:type="dxa"/>
            <w:gridSpan w:val="2"/>
            <w:tcBorders>
              <w:top w:val="single" w:color="auto" w:sz="4" w:space="0"/>
              <w:left w:val="nil"/>
              <w:bottom w:val="single" w:color="auto" w:sz="4" w:space="0"/>
              <w:right w:val="single" w:color="000000" w:sz="4" w:space="0"/>
            </w:tcBorders>
            <w:noWrap w:val="0"/>
            <w:vAlign w:val="center"/>
          </w:tcPr>
          <w:p w14:paraId="0CA44E0C">
            <w:pPr>
              <w:widowControl/>
              <w:spacing w:line="360" w:lineRule="exact"/>
              <w:jc w:val="center"/>
              <w:rPr>
                <w:rFonts w:hint="default" w:ascii="仿宋_GB2312" w:hAnsi="仿宋_GB2312" w:eastAsia="仿宋_GB2312" w:cs="仿宋_GB2312"/>
                <w:color w:val="FF0000"/>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87.37</w:t>
            </w:r>
          </w:p>
        </w:tc>
      </w:tr>
      <w:tr w14:paraId="76085BD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923C84D">
            <w:pPr>
              <w:widowControl/>
              <w:spacing w:line="360" w:lineRule="exact"/>
              <w:jc w:val="left"/>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1D0ABCEF">
            <w:pPr>
              <w:widowControl/>
              <w:spacing w:line="360" w:lineRule="exact"/>
              <w:jc w:val="center"/>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6C2B6927">
            <w:pPr>
              <w:widowControl/>
              <w:spacing w:line="360" w:lineRule="exact"/>
              <w:jc w:val="center"/>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109.46</w:t>
            </w:r>
          </w:p>
        </w:tc>
        <w:tc>
          <w:tcPr>
            <w:tcW w:w="2041" w:type="dxa"/>
            <w:gridSpan w:val="2"/>
            <w:tcBorders>
              <w:top w:val="single" w:color="auto" w:sz="4" w:space="0"/>
              <w:left w:val="nil"/>
              <w:bottom w:val="single" w:color="auto" w:sz="4" w:space="0"/>
              <w:right w:val="single" w:color="000000" w:sz="4" w:space="0"/>
            </w:tcBorders>
            <w:noWrap w:val="0"/>
            <w:vAlign w:val="center"/>
          </w:tcPr>
          <w:p w14:paraId="1E79DF62">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　</w:t>
            </w:r>
          </w:p>
        </w:tc>
      </w:tr>
      <w:tr w14:paraId="473EF34C">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4538C8B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43CA42FF">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5EBF9669">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798AE239">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73433312">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1AC74937">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17DAE8EA">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5B265B73">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7B762E3E">
            <w:pPr>
              <w:widowControl/>
              <w:spacing w:line="360" w:lineRule="exact"/>
              <w:jc w:val="left"/>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4086D16F">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7435E40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69A9316E">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758702E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50F8963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7F381EE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72E0F50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BC30726">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60B17A4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控制三公经费的支出　</w:t>
            </w:r>
          </w:p>
        </w:tc>
      </w:tr>
    </w:tbl>
    <w:p w14:paraId="1C77273C">
      <w:pPr>
        <w:widowControl/>
        <w:spacing w:afterLines="0" w:line="400" w:lineRule="exact"/>
        <w:jc w:val="left"/>
        <w:rPr>
          <w:rFonts w:hint="default" w:ascii="Times New Roman" w:hAnsi="Times New Roman" w:eastAsia="仿宋_GB2312" w:cs="Times New Roman"/>
          <w:sz w:val="22"/>
          <w:highlight w:val="none"/>
        </w:rPr>
      </w:pPr>
    </w:p>
    <w:p w14:paraId="0930011E">
      <w:pPr>
        <w:widowControl/>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2F3CA5E0">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629"/>
        <w:gridCol w:w="527"/>
        <w:gridCol w:w="1014"/>
        <w:gridCol w:w="1229"/>
        <w:gridCol w:w="1596"/>
        <w:gridCol w:w="696"/>
        <w:gridCol w:w="965"/>
        <w:gridCol w:w="1200"/>
      </w:tblGrid>
      <w:tr w14:paraId="11B9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0F1DB864">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4604" w:type="pct"/>
            <w:gridSpan w:val="8"/>
            <w:noWrap w:val="0"/>
            <w:vAlign w:val="center"/>
          </w:tcPr>
          <w:p w14:paraId="55A6154C">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岳阳市生态环境局南湖新区分局</w:t>
            </w:r>
          </w:p>
        </w:tc>
      </w:tr>
      <w:tr w14:paraId="051B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restart"/>
            <w:noWrap w:val="0"/>
            <w:vAlign w:val="center"/>
          </w:tcPr>
          <w:p w14:paraId="0EB6ADF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7F93E6C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686" w:type="pct"/>
            <w:gridSpan w:val="2"/>
            <w:noWrap w:val="0"/>
            <w:vAlign w:val="center"/>
          </w:tcPr>
          <w:p w14:paraId="4655EEE7">
            <w:pPr>
              <w:snapToGrid w:val="0"/>
              <w:spacing w:line="240" w:lineRule="exact"/>
              <w:jc w:val="center"/>
              <w:rPr>
                <w:rFonts w:hint="eastAsia" w:ascii="仿宋_GB2312" w:hAnsi="仿宋_GB2312" w:eastAsia="仿宋_GB2312" w:cs="仿宋_GB2312"/>
                <w:sz w:val="20"/>
                <w:szCs w:val="20"/>
                <w:highlight w:val="none"/>
              </w:rPr>
            </w:pPr>
          </w:p>
        </w:tc>
        <w:tc>
          <w:tcPr>
            <w:tcW w:w="599" w:type="pct"/>
            <w:noWrap w:val="0"/>
            <w:vAlign w:val="center"/>
          </w:tcPr>
          <w:p w14:paraId="3842F469">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725" w:type="pct"/>
            <w:noWrap w:val="0"/>
            <w:vAlign w:val="center"/>
          </w:tcPr>
          <w:p w14:paraId="234A41FA">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939" w:type="pct"/>
            <w:noWrap w:val="0"/>
            <w:vAlign w:val="center"/>
          </w:tcPr>
          <w:p w14:paraId="57171227">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376" w:type="pct"/>
            <w:noWrap w:val="0"/>
            <w:vAlign w:val="center"/>
          </w:tcPr>
          <w:p w14:paraId="65A88914">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570" w:type="pct"/>
            <w:noWrap w:val="0"/>
            <w:vAlign w:val="center"/>
          </w:tcPr>
          <w:p w14:paraId="668EBA1C">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708" w:type="pct"/>
            <w:noWrap w:val="0"/>
            <w:vAlign w:val="center"/>
          </w:tcPr>
          <w:p w14:paraId="73D46A6A">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5CF3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598C96B2">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686" w:type="pct"/>
            <w:gridSpan w:val="2"/>
            <w:noWrap w:val="0"/>
            <w:vAlign w:val="center"/>
          </w:tcPr>
          <w:p w14:paraId="6F6554A6">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599" w:type="pct"/>
            <w:noWrap w:val="0"/>
            <w:vAlign w:val="center"/>
          </w:tcPr>
          <w:p w14:paraId="149CB6D0">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180.08</w:t>
            </w:r>
          </w:p>
        </w:tc>
        <w:tc>
          <w:tcPr>
            <w:tcW w:w="725" w:type="pct"/>
            <w:noWrap w:val="0"/>
            <w:vAlign w:val="center"/>
          </w:tcPr>
          <w:p w14:paraId="24F0CB25">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306.78</w:t>
            </w:r>
          </w:p>
        </w:tc>
        <w:tc>
          <w:tcPr>
            <w:tcW w:w="939" w:type="pct"/>
            <w:noWrap w:val="0"/>
            <w:vAlign w:val="center"/>
          </w:tcPr>
          <w:p w14:paraId="49B67386">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263.05</w:t>
            </w:r>
          </w:p>
        </w:tc>
        <w:tc>
          <w:tcPr>
            <w:tcW w:w="376" w:type="pct"/>
            <w:noWrap w:val="0"/>
            <w:vAlign w:val="center"/>
          </w:tcPr>
          <w:p w14:paraId="043BA56D">
            <w:pPr>
              <w:snapToGrid w:val="0"/>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570" w:type="pct"/>
            <w:noWrap w:val="0"/>
            <w:vAlign w:val="center"/>
          </w:tcPr>
          <w:p w14:paraId="22023F85">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85.75%</w:t>
            </w:r>
          </w:p>
        </w:tc>
        <w:tc>
          <w:tcPr>
            <w:tcW w:w="708" w:type="pct"/>
            <w:noWrap w:val="0"/>
            <w:vAlign w:val="center"/>
          </w:tcPr>
          <w:p w14:paraId="4B8AE769">
            <w:pPr>
              <w:snapToGrid w:val="0"/>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8.58</w:t>
            </w:r>
          </w:p>
        </w:tc>
      </w:tr>
      <w:tr w14:paraId="3798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50C7BF4C">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10" w:type="pct"/>
            <w:gridSpan w:val="4"/>
            <w:noWrap w:val="0"/>
            <w:vAlign w:val="center"/>
          </w:tcPr>
          <w:p w14:paraId="4096CE5E">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2593" w:type="pct"/>
            <w:gridSpan w:val="4"/>
            <w:noWrap w:val="0"/>
            <w:vAlign w:val="center"/>
          </w:tcPr>
          <w:p w14:paraId="6934F7C5">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16C9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6908A7E5">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10" w:type="pct"/>
            <w:gridSpan w:val="4"/>
            <w:noWrap w:val="0"/>
            <w:vAlign w:val="center"/>
          </w:tcPr>
          <w:p w14:paraId="41078BE9">
            <w:pPr>
              <w:widowControl/>
              <w:snapToGrid w:val="0"/>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221.31</w:t>
            </w:r>
          </w:p>
        </w:tc>
        <w:tc>
          <w:tcPr>
            <w:tcW w:w="2593" w:type="pct"/>
            <w:gridSpan w:val="4"/>
            <w:noWrap w:val="0"/>
            <w:vAlign w:val="center"/>
          </w:tcPr>
          <w:p w14:paraId="278BF8CD">
            <w:pPr>
              <w:widowControl/>
              <w:snapToGrid w:val="0"/>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226.30</w:t>
            </w:r>
          </w:p>
        </w:tc>
      </w:tr>
      <w:tr w14:paraId="704E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2F2031C8">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10" w:type="pct"/>
            <w:gridSpan w:val="4"/>
            <w:noWrap w:val="0"/>
            <w:vAlign w:val="center"/>
          </w:tcPr>
          <w:p w14:paraId="10E67516">
            <w:pPr>
              <w:widowControl/>
              <w:snapToGrid w:val="0"/>
              <w:spacing w:line="240" w:lineRule="exact"/>
              <w:ind w:firstLine="800" w:firstLineChars="4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2593" w:type="pct"/>
            <w:gridSpan w:val="4"/>
            <w:noWrap w:val="0"/>
            <w:vAlign w:val="center"/>
          </w:tcPr>
          <w:p w14:paraId="0D856274">
            <w:pPr>
              <w:widowControl/>
              <w:snapToGrid w:val="0"/>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36.75</w:t>
            </w:r>
          </w:p>
        </w:tc>
      </w:tr>
      <w:tr w14:paraId="2DF0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6F4EB65F">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10" w:type="pct"/>
            <w:gridSpan w:val="4"/>
            <w:noWrap w:val="0"/>
            <w:vAlign w:val="center"/>
          </w:tcPr>
          <w:p w14:paraId="7685DBC9">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2593" w:type="pct"/>
            <w:gridSpan w:val="4"/>
            <w:noWrap w:val="0"/>
            <w:vAlign w:val="center"/>
          </w:tcPr>
          <w:p w14:paraId="36163F35">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2520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7BD070E0">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10" w:type="pct"/>
            <w:gridSpan w:val="4"/>
            <w:noWrap w:val="0"/>
            <w:vAlign w:val="center"/>
          </w:tcPr>
          <w:p w14:paraId="53C92A87">
            <w:pPr>
              <w:widowControl/>
              <w:snapToGrid w:val="0"/>
              <w:spacing w:line="240" w:lineRule="exact"/>
              <w:ind w:firstLine="1400" w:firstLineChars="7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85.47</w:t>
            </w:r>
          </w:p>
        </w:tc>
        <w:tc>
          <w:tcPr>
            <w:tcW w:w="2593" w:type="pct"/>
            <w:gridSpan w:val="4"/>
            <w:noWrap w:val="0"/>
            <w:vAlign w:val="center"/>
          </w:tcPr>
          <w:p w14:paraId="34D3631C">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26D4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restart"/>
            <w:noWrap w:val="0"/>
            <w:vAlign w:val="center"/>
          </w:tcPr>
          <w:p w14:paraId="69E2A8EA">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2010" w:type="pct"/>
            <w:gridSpan w:val="4"/>
            <w:noWrap w:val="0"/>
            <w:vAlign w:val="center"/>
          </w:tcPr>
          <w:p w14:paraId="40E12D97">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2593" w:type="pct"/>
            <w:gridSpan w:val="4"/>
            <w:noWrap w:val="0"/>
            <w:vAlign w:val="center"/>
          </w:tcPr>
          <w:p w14:paraId="1F95189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E36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0C5003CA">
            <w:pPr>
              <w:widowControl/>
              <w:snapToGrid w:val="0"/>
              <w:spacing w:line="240" w:lineRule="exact"/>
              <w:jc w:val="left"/>
              <w:rPr>
                <w:rFonts w:hint="eastAsia" w:ascii="仿宋_GB2312" w:hAnsi="仿宋_GB2312" w:eastAsia="仿宋_GB2312" w:cs="仿宋_GB2312"/>
                <w:color w:val="000000"/>
                <w:sz w:val="20"/>
                <w:szCs w:val="20"/>
                <w:highlight w:val="none"/>
              </w:rPr>
            </w:pPr>
          </w:p>
        </w:tc>
        <w:tc>
          <w:tcPr>
            <w:tcW w:w="2010" w:type="pct"/>
            <w:gridSpan w:val="4"/>
            <w:noWrap w:val="0"/>
            <w:vAlign w:val="center"/>
          </w:tcPr>
          <w:p w14:paraId="627D4822">
            <w:pPr>
              <w:keepNext w:val="0"/>
              <w:keepLines w:val="0"/>
              <w:pageBreakBefore w:val="0"/>
              <w:widowControl/>
              <w:numPr>
                <w:ilvl w:val="0"/>
                <w:numId w:val="0"/>
              </w:numPr>
              <w:kinsoku/>
              <w:wordWrap/>
              <w:overflowPunct/>
              <w:topLinePunct w:val="0"/>
              <w:autoSpaceDE/>
              <w:autoSpaceDN/>
              <w:bidi w:val="0"/>
              <w:adjustRightInd/>
              <w:snapToGrid w:val="0"/>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任务1.抓好“污染防治攻坚战”“夏季攻势”行动。</w:t>
            </w:r>
          </w:p>
          <w:p w14:paraId="0D1A5991">
            <w:pPr>
              <w:keepNext w:val="0"/>
              <w:keepLines w:val="0"/>
              <w:pageBreakBefore w:val="0"/>
              <w:widowControl/>
              <w:numPr>
                <w:ilvl w:val="0"/>
                <w:numId w:val="0"/>
              </w:numPr>
              <w:kinsoku/>
              <w:wordWrap/>
              <w:overflowPunct/>
              <w:topLinePunct w:val="0"/>
              <w:autoSpaceDE/>
              <w:autoSpaceDN/>
              <w:bidi w:val="0"/>
              <w:adjustRightInd/>
              <w:snapToGrid w:val="0"/>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任务2.持续做好水环境、大气污染防治、土壤污染防治管控工作。</w:t>
            </w:r>
          </w:p>
          <w:p w14:paraId="59D3D901">
            <w:pPr>
              <w:keepNext w:val="0"/>
              <w:keepLines w:val="0"/>
              <w:pageBreakBefore w:val="0"/>
              <w:widowControl/>
              <w:numPr>
                <w:ilvl w:val="0"/>
                <w:numId w:val="0"/>
              </w:numPr>
              <w:kinsoku/>
              <w:wordWrap/>
              <w:overflowPunct/>
              <w:topLinePunct w:val="0"/>
              <w:autoSpaceDE/>
              <w:autoSpaceDN/>
              <w:bidi w:val="0"/>
              <w:adjustRightInd/>
              <w:snapToGrid w:val="0"/>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任务3.加强项目资金监管。</w:t>
            </w:r>
          </w:p>
          <w:p w14:paraId="0ABD9F4E">
            <w:pPr>
              <w:keepNext w:val="0"/>
              <w:keepLines w:val="0"/>
              <w:pageBreakBefore w:val="0"/>
              <w:widowControl/>
              <w:numPr>
                <w:ilvl w:val="0"/>
                <w:numId w:val="0"/>
              </w:numPr>
              <w:kinsoku/>
              <w:wordWrap/>
              <w:overflowPunct/>
              <w:topLinePunct w:val="0"/>
              <w:autoSpaceDE/>
              <w:autoSpaceDN/>
              <w:bidi w:val="0"/>
              <w:adjustRightInd/>
              <w:snapToGrid w:val="0"/>
              <w:spacing w:line="240" w:lineRule="exact"/>
              <w:ind w:left="0" w:leftChars="0" w:firstLine="0" w:firstLineChars="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任务4.做好企业服务工作。　</w:t>
            </w:r>
          </w:p>
        </w:tc>
        <w:tc>
          <w:tcPr>
            <w:tcW w:w="2593" w:type="pct"/>
            <w:gridSpan w:val="4"/>
            <w:noWrap w:val="0"/>
            <w:vAlign w:val="center"/>
          </w:tcPr>
          <w:p w14:paraId="0F81072D">
            <w:pPr>
              <w:keepNext w:val="0"/>
              <w:keepLines w:val="0"/>
              <w:pageBreakBefore w:val="0"/>
              <w:widowControl w:val="0"/>
              <w:numPr>
                <w:ilvl w:val="0"/>
                <w:numId w:val="0"/>
              </w:numPr>
              <w:kinsoku/>
              <w:wordWrap/>
              <w:overflowPunct/>
              <w:topLinePunct w:val="0"/>
              <w:autoSpaceDE/>
              <w:autoSpaceDN/>
              <w:bidi w:val="0"/>
              <w:adjustRightInd/>
              <w:snapToGrid w:val="0"/>
              <w:spacing w:after="32" w:afterLines="10" w:line="600" w:lineRule="exact"/>
              <w:ind w:right="0" w:rightChars="0"/>
              <w:textAlignment w:val="auto"/>
              <w:outlineLvl w:val="9"/>
              <w:rPr>
                <w:rFonts w:hint="eastAsia" w:ascii="方正仿宋_GB2312" w:hAnsi="方正仿宋_GB2312" w:eastAsia="方正仿宋_GB2312" w:cs="方正仿宋_GB2312"/>
                <w:b w:val="0"/>
                <w:bCs w:val="0"/>
                <w:sz w:val="20"/>
                <w:szCs w:val="20"/>
                <w:lang w:val="en-US" w:eastAsia="zh-CN"/>
              </w:rPr>
            </w:pPr>
            <w:r>
              <w:rPr>
                <w:rFonts w:hint="eastAsia" w:ascii="方正仿宋_GB2312" w:hAnsi="方正仿宋_GB2312" w:eastAsia="方正仿宋_GB2312" w:cs="方正仿宋_GB2312"/>
                <w:b w:val="0"/>
                <w:bCs w:val="0"/>
                <w:sz w:val="20"/>
                <w:szCs w:val="20"/>
                <w:lang w:val="en-US" w:eastAsia="zh-CN"/>
              </w:rPr>
              <w:t>1.</w:t>
            </w:r>
            <w:r>
              <w:rPr>
                <w:rFonts w:hint="eastAsia" w:ascii="方正仿宋_GB2312" w:hAnsi="方正仿宋_GB2312" w:eastAsia="方正仿宋_GB2312" w:cs="方正仿宋_GB2312"/>
                <w:b w:val="0"/>
                <w:bCs w:val="0"/>
                <w:sz w:val="20"/>
                <w:szCs w:val="20"/>
                <w:lang w:eastAsia="zh-CN"/>
              </w:rPr>
              <w:t>积极开展水污染防治工作。</w:t>
            </w:r>
            <w:r>
              <w:rPr>
                <w:rFonts w:hint="eastAsia" w:ascii="方正仿宋_GB2312" w:hAnsi="方正仿宋_GB2312" w:eastAsia="方正仿宋_GB2312" w:cs="方正仿宋_GB2312"/>
                <w:b w:val="0"/>
                <w:bCs w:val="0"/>
                <w:kern w:val="0"/>
                <w:sz w:val="20"/>
                <w:szCs w:val="20"/>
                <w:lang w:val="en-US" w:eastAsia="zh-CN"/>
              </w:rPr>
              <w:t>持续开展南湖水环境综合整治工作，坚持湖面巡查密切关注南湖水质变化情况，督促区生态渔业公司加强湖面保洁打捞确保湖面洁净并进一步强化治理措施。</w:t>
            </w:r>
            <w:r>
              <w:rPr>
                <w:rFonts w:hint="eastAsia" w:ascii="方正仿宋_GB2312" w:hAnsi="方正仿宋_GB2312" w:eastAsia="方正仿宋_GB2312" w:cs="方正仿宋_GB2312"/>
                <w:b w:val="0"/>
                <w:bCs w:val="0"/>
                <w:color w:val="auto"/>
                <w:sz w:val="20"/>
                <w:szCs w:val="20"/>
                <w:lang w:val="en-US" w:eastAsia="zh-CN"/>
              </w:rPr>
              <w:t>经过一系列努力，南湖水质总体达到地表水Ⅲ类标准，</w:t>
            </w:r>
            <w:r>
              <w:rPr>
                <w:rFonts w:hint="eastAsia" w:ascii="方正仿宋_GB2312" w:hAnsi="方正仿宋_GB2312" w:eastAsia="方正仿宋_GB2312" w:cs="方正仿宋_GB2312"/>
                <w:b w:val="0"/>
                <w:bCs w:val="0"/>
                <w:color w:val="auto"/>
                <w:kern w:val="0"/>
                <w:sz w:val="20"/>
                <w:szCs w:val="20"/>
                <w:lang w:val="en-US" w:eastAsia="zh-CN"/>
              </w:rPr>
              <w:t>强制污水处理厂深度处理。</w:t>
            </w:r>
          </w:p>
          <w:p w14:paraId="0ED9352A">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32" w:afterLines="10" w:afterAutospacing="0" w:line="600" w:lineRule="exact"/>
              <w:ind w:right="0" w:rightChars="0"/>
              <w:jc w:val="both"/>
              <w:textAlignment w:val="auto"/>
              <w:outlineLvl w:val="9"/>
              <w:rPr>
                <w:rFonts w:hint="default" w:ascii="方正仿宋_GB2312" w:hAnsi="方正仿宋_GB2312" w:eastAsia="方正仿宋_GB2312" w:cs="方正仿宋_GB2312"/>
                <w:b w:val="0"/>
                <w:bCs w:val="0"/>
                <w:kern w:val="2"/>
                <w:sz w:val="20"/>
                <w:szCs w:val="20"/>
                <w:lang w:val="en-US" w:eastAsia="zh-CN" w:bidi="ar-SA"/>
              </w:rPr>
            </w:pPr>
            <w:r>
              <w:rPr>
                <w:rFonts w:hint="eastAsia" w:ascii="方正仿宋_GB2312" w:hAnsi="方正仿宋_GB2312" w:eastAsia="方正仿宋_GB2312" w:cs="方正仿宋_GB2312"/>
                <w:b w:val="0"/>
                <w:bCs w:val="0"/>
                <w:kern w:val="2"/>
                <w:sz w:val="20"/>
                <w:szCs w:val="20"/>
                <w:lang w:val="en-US" w:eastAsia="zh-CN" w:bidi="ar-SA"/>
              </w:rPr>
              <w:t>2.承担区蓝天办日常工作</w:t>
            </w:r>
            <w:r>
              <w:rPr>
                <w:rFonts w:hint="eastAsia" w:ascii="方正仿宋_GB2312" w:hAnsi="方正仿宋_GB2312" w:eastAsia="方正仿宋_GB2312" w:cs="方正仿宋_GB2312"/>
                <w:b w:val="0"/>
                <w:bCs w:val="0"/>
                <w:sz w:val="20"/>
                <w:szCs w:val="20"/>
                <w:lang w:eastAsia="zh-CN" w:bidi="ar-SA"/>
              </w:rPr>
              <w:t>。</w:t>
            </w:r>
          </w:p>
          <w:p w14:paraId="4CBCF422">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32" w:afterLines="10" w:afterAutospacing="0" w:line="600" w:lineRule="exact"/>
              <w:ind w:right="0" w:rightChars="0"/>
              <w:jc w:val="both"/>
              <w:textAlignment w:val="auto"/>
              <w:outlineLvl w:val="9"/>
              <w:rPr>
                <w:rFonts w:hint="eastAsia" w:ascii="方正仿宋_GB2312" w:hAnsi="方正仿宋_GB2312" w:eastAsia="方正仿宋_GB2312" w:cs="方正仿宋_GB2312"/>
                <w:b w:val="0"/>
                <w:bCs w:val="0"/>
                <w:sz w:val="20"/>
                <w:szCs w:val="20"/>
                <w:lang w:eastAsia="zh-CN" w:bidi="ar-SA"/>
              </w:rPr>
            </w:pPr>
            <w:r>
              <w:rPr>
                <w:rFonts w:hint="eastAsia" w:ascii="方正仿宋_GB2312" w:hAnsi="方正仿宋_GB2312" w:eastAsia="方正仿宋_GB2312" w:cs="方正仿宋_GB2312"/>
                <w:b w:val="0"/>
                <w:bCs w:val="0"/>
                <w:kern w:val="2"/>
                <w:sz w:val="20"/>
                <w:szCs w:val="20"/>
                <w:lang w:val="en-US" w:eastAsia="zh-CN" w:bidi="ar-SA"/>
              </w:rPr>
              <w:t>3.开展空气质量数据分析</w:t>
            </w:r>
            <w:r>
              <w:rPr>
                <w:rFonts w:hint="eastAsia" w:ascii="方正仿宋_GB2312" w:hAnsi="方正仿宋_GB2312" w:eastAsia="方正仿宋_GB2312" w:cs="方正仿宋_GB2312"/>
                <w:b w:val="0"/>
                <w:bCs w:val="0"/>
                <w:sz w:val="20"/>
                <w:szCs w:val="20"/>
                <w:lang w:eastAsia="zh-CN" w:bidi="ar-SA"/>
              </w:rPr>
              <w:t>。</w:t>
            </w:r>
          </w:p>
          <w:p w14:paraId="469D505C">
            <w:pPr>
              <w:keepNext w:val="0"/>
              <w:keepLines w:val="0"/>
              <w:pageBreakBefore w:val="0"/>
              <w:widowControl w:val="0"/>
              <w:kinsoku/>
              <w:wordWrap/>
              <w:overflowPunct/>
              <w:topLinePunct w:val="0"/>
              <w:autoSpaceDE/>
              <w:autoSpaceDN/>
              <w:bidi w:val="0"/>
              <w:adjustRightInd/>
              <w:snapToGrid w:val="0"/>
              <w:spacing w:after="32" w:afterLines="10" w:line="600" w:lineRule="exact"/>
              <w:ind w:right="0" w:rightChars="0"/>
              <w:textAlignment w:val="auto"/>
              <w:outlineLvl w:val="9"/>
              <w:rPr>
                <w:rFonts w:hint="eastAsia" w:ascii="方正仿宋_GB2312" w:hAnsi="方正仿宋_GB2312" w:eastAsia="方正仿宋_GB2312" w:cs="方正仿宋_GB2312"/>
                <w:b w:val="0"/>
                <w:bCs w:val="0"/>
                <w:kern w:val="0"/>
                <w:sz w:val="20"/>
                <w:szCs w:val="20"/>
                <w:lang w:val="en-US" w:eastAsia="zh-CN" w:bidi="ar-SA"/>
              </w:rPr>
            </w:pPr>
            <w:r>
              <w:rPr>
                <w:rFonts w:hint="eastAsia" w:ascii="方正仿宋_GB2312" w:hAnsi="方正仿宋_GB2312" w:eastAsia="方正仿宋_GB2312" w:cs="方正仿宋_GB2312"/>
                <w:b w:val="0"/>
                <w:bCs w:val="0"/>
                <w:kern w:val="2"/>
                <w:sz w:val="20"/>
                <w:szCs w:val="20"/>
                <w:lang w:val="en-US" w:eastAsia="zh-CN" w:bidi="ar-SA"/>
              </w:rPr>
              <w:t>4.开展柴油货车路检路查专项行动。</w:t>
            </w:r>
          </w:p>
          <w:p w14:paraId="37A94923">
            <w:pPr>
              <w:keepNext w:val="0"/>
              <w:keepLines w:val="0"/>
              <w:pageBreakBefore w:val="0"/>
              <w:widowControl w:val="0"/>
              <w:kinsoku/>
              <w:wordWrap/>
              <w:overflowPunct/>
              <w:topLinePunct w:val="0"/>
              <w:autoSpaceDE/>
              <w:autoSpaceDN/>
              <w:bidi w:val="0"/>
              <w:adjustRightInd/>
              <w:snapToGrid w:val="0"/>
              <w:spacing w:after="32" w:afterLines="10" w:line="600" w:lineRule="exact"/>
              <w:ind w:right="0" w:rightChars="0"/>
              <w:textAlignment w:val="auto"/>
              <w:outlineLvl w:val="9"/>
              <w:rPr>
                <w:rFonts w:hint="eastAsia" w:ascii="方正仿宋_GB2312" w:hAnsi="方正仿宋_GB2312" w:eastAsia="方正仿宋_GB2312" w:cs="方正仿宋_GB2312"/>
                <w:b w:val="0"/>
                <w:bCs w:val="0"/>
                <w:kern w:val="0"/>
                <w:sz w:val="20"/>
                <w:szCs w:val="20"/>
                <w:lang w:val="en-US" w:eastAsia="zh-CN" w:bidi="ar-SA"/>
              </w:rPr>
            </w:pPr>
            <w:r>
              <w:rPr>
                <w:rFonts w:hint="eastAsia" w:ascii="方正仿宋_GB2312" w:hAnsi="方正仿宋_GB2312" w:eastAsia="方正仿宋_GB2312" w:cs="方正仿宋_GB2312"/>
                <w:b w:val="0"/>
                <w:bCs w:val="0"/>
                <w:kern w:val="2"/>
                <w:sz w:val="20"/>
                <w:szCs w:val="20"/>
                <w:lang w:val="en-US" w:eastAsia="zh-CN" w:bidi="ar-SA"/>
              </w:rPr>
              <w:t>5.开展秸秆禁烧工作。</w:t>
            </w:r>
          </w:p>
          <w:p w14:paraId="37CC378A">
            <w:pPr>
              <w:keepNext w:val="0"/>
              <w:keepLines w:val="0"/>
              <w:pageBreakBefore w:val="0"/>
              <w:widowControl w:val="0"/>
              <w:numPr>
                <w:ilvl w:val="0"/>
                <w:numId w:val="0"/>
              </w:numPr>
              <w:kinsoku/>
              <w:wordWrap/>
              <w:overflowPunct/>
              <w:topLinePunct w:val="0"/>
              <w:autoSpaceDE/>
              <w:autoSpaceDN/>
              <w:bidi w:val="0"/>
              <w:adjustRightInd/>
              <w:snapToGrid w:val="0"/>
              <w:spacing w:after="32" w:afterLines="10" w:line="600" w:lineRule="exact"/>
              <w:ind w:right="0" w:rightChars="0"/>
              <w:textAlignment w:val="auto"/>
              <w:outlineLvl w:val="9"/>
              <w:rPr>
                <w:rFonts w:hint="eastAsia" w:ascii="方正仿宋_GB2312" w:hAnsi="方正仿宋_GB2312" w:eastAsia="方正仿宋_GB2312" w:cs="方正仿宋_GB2312"/>
                <w:b w:val="0"/>
                <w:bCs w:val="0"/>
                <w:sz w:val="20"/>
                <w:szCs w:val="20"/>
                <w:lang w:val="en-US" w:eastAsia="zh-CN"/>
              </w:rPr>
            </w:pPr>
            <w:r>
              <w:rPr>
                <w:rFonts w:hint="eastAsia" w:ascii="方正仿宋_GB2312" w:hAnsi="方正仿宋_GB2312" w:eastAsia="方正仿宋_GB2312" w:cs="方正仿宋_GB2312"/>
                <w:b w:val="0"/>
                <w:bCs w:val="0"/>
                <w:sz w:val="20"/>
                <w:szCs w:val="20"/>
                <w:lang w:val="en-US" w:eastAsia="zh-CN"/>
              </w:rPr>
              <w:t>6.开展土壤污染防治工作。完成1个优先监管地块（岳阳市赛洁日化责任有限公司地块）销号任务。</w:t>
            </w:r>
          </w:p>
          <w:p w14:paraId="6193A2A4">
            <w:pPr>
              <w:snapToGrid w:val="0"/>
              <w:rPr>
                <w:rFonts w:hint="default" w:ascii="仿宋_GB2312" w:hAnsi="仿宋_GB2312" w:eastAsia="仿宋_GB2312" w:cs="仿宋_GB2312"/>
                <w:color w:val="000000"/>
                <w:kern w:val="0"/>
                <w:sz w:val="20"/>
                <w:szCs w:val="20"/>
                <w:highlight w:val="none"/>
                <w:lang w:val="en-US" w:eastAsia="zh-CN" w:bidi="ar-SA"/>
              </w:rPr>
            </w:pPr>
          </w:p>
        </w:tc>
      </w:tr>
      <w:tr w14:paraId="31A7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restart"/>
            <w:noWrap w:val="0"/>
            <w:vAlign w:val="center"/>
          </w:tcPr>
          <w:p w14:paraId="0253664C">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37898B0E">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7774B391">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7AA210E">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60DD12D3">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73" w:type="pct"/>
            <w:noWrap w:val="0"/>
            <w:vAlign w:val="center"/>
          </w:tcPr>
          <w:p w14:paraId="30437F47">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313" w:type="pct"/>
            <w:noWrap w:val="0"/>
            <w:vAlign w:val="center"/>
          </w:tcPr>
          <w:p w14:paraId="6A7CA133">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599" w:type="pct"/>
            <w:noWrap w:val="0"/>
            <w:vAlign w:val="center"/>
          </w:tcPr>
          <w:p w14:paraId="717DEB4C">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725" w:type="pct"/>
            <w:noWrap w:val="0"/>
            <w:vAlign w:val="center"/>
          </w:tcPr>
          <w:p w14:paraId="5EC15EC6">
            <w:pPr>
              <w:widowControl/>
              <w:snapToGrid w:val="0"/>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939" w:type="pct"/>
            <w:noWrap w:val="0"/>
            <w:vAlign w:val="center"/>
          </w:tcPr>
          <w:p w14:paraId="37C54D56">
            <w:pPr>
              <w:widowControl/>
              <w:snapToGrid w:val="0"/>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376" w:type="pct"/>
            <w:noWrap w:val="0"/>
            <w:vAlign w:val="center"/>
          </w:tcPr>
          <w:p w14:paraId="0C40FF51">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570" w:type="pct"/>
            <w:noWrap w:val="0"/>
            <w:vAlign w:val="center"/>
          </w:tcPr>
          <w:p w14:paraId="5DFBB656">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708" w:type="pct"/>
            <w:noWrap w:val="0"/>
            <w:vAlign w:val="center"/>
          </w:tcPr>
          <w:p w14:paraId="056AC4CF">
            <w:pPr>
              <w:widowControl/>
              <w:snapToGrid w:val="0"/>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0E7E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14A32968">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restart"/>
            <w:noWrap w:val="0"/>
            <w:vAlign w:val="center"/>
          </w:tcPr>
          <w:p w14:paraId="3B04DB43">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75B88E01">
            <w:pPr>
              <w:widowControl/>
              <w:snapToGrid w:val="0"/>
              <w:spacing w:line="240" w:lineRule="exact"/>
              <w:jc w:val="center"/>
              <w:rPr>
                <w:rFonts w:hint="eastAsia" w:ascii="仿宋_GB2312" w:hAnsi="仿宋_GB2312" w:eastAsia="仿宋_GB2312" w:cs="仿宋_GB2312"/>
                <w:color w:val="000000"/>
                <w:sz w:val="20"/>
                <w:szCs w:val="20"/>
                <w:highlight w:val="none"/>
              </w:rPr>
            </w:pPr>
          </w:p>
          <w:p w14:paraId="164D8B1E">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0分)</w:t>
            </w:r>
          </w:p>
        </w:tc>
        <w:tc>
          <w:tcPr>
            <w:tcW w:w="313" w:type="pct"/>
            <w:vMerge w:val="restart"/>
            <w:noWrap w:val="0"/>
            <w:vAlign w:val="center"/>
          </w:tcPr>
          <w:p w14:paraId="3FCF04D9">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599" w:type="pct"/>
            <w:noWrap w:val="0"/>
            <w:vAlign w:val="center"/>
          </w:tcPr>
          <w:p w14:paraId="00519C24">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eastAsia="zh-CN"/>
              </w:rPr>
              <w:t>强力开展各项专项行动</w:t>
            </w:r>
          </w:p>
        </w:tc>
        <w:tc>
          <w:tcPr>
            <w:tcW w:w="725" w:type="pct"/>
            <w:noWrap w:val="0"/>
            <w:vAlign w:val="center"/>
          </w:tcPr>
          <w:p w14:paraId="3FEAF7F3">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≥5万元</w:t>
            </w:r>
          </w:p>
        </w:tc>
        <w:tc>
          <w:tcPr>
            <w:tcW w:w="939" w:type="pct"/>
            <w:noWrap w:val="0"/>
            <w:vAlign w:val="center"/>
          </w:tcPr>
          <w:p w14:paraId="1BBE7BC4">
            <w:pPr>
              <w:widowControl/>
              <w:snapToGrid w:val="0"/>
              <w:spacing w:line="240" w:lineRule="exact"/>
              <w:ind w:firstLine="600" w:firstLineChars="300"/>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6次</w:t>
            </w:r>
          </w:p>
        </w:tc>
        <w:tc>
          <w:tcPr>
            <w:tcW w:w="376" w:type="pct"/>
            <w:noWrap w:val="0"/>
            <w:vAlign w:val="center"/>
          </w:tcPr>
          <w:p w14:paraId="1EF8F486">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570" w:type="pct"/>
            <w:noWrap w:val="0"/>
            <w:vAlign w:val="center"/>
          </w:tcPr>
          <w:p w14:paraId="5118E2C1">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708" w:type="pct"/>
            <w:noWrap w:val="0"/>
            <w:vAlign w:val="center"/>
          </w:tcPr>
          <w:p w14:paraId="021856D6">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p>
        </w:tc>
      </w:tr>
      <w:tr w14:paraId="2B2B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1F887688">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continue"/>
            <w:noWrap w:val="0"/>
            <w:vAlign w:val="center"/>
          </w:tcPr>
          <w:p w14:paraId="58259DBB">
            <w:pPr>
              <w:snapToGrid w:val="0"/>
              <w:spacing w:line="240" w:lineRule="exact"/>
              <w:jc w:val="left"/>
              <w:rPr>
                <w:rFonts w:hint="eastAsia" w:ascii="仿宋_GB2312" w:hAnsi="仿宋_GB2312" w:eastAsia="仿宋_GB2312" w:cs="仿宋_GB2312"/>
                <w:color w:val="000000"/>
                <w:sz w:val="20"/>
                <w:szCs w:val="20"/>
                <w:highlight w:val="none"/>
              </w:rPr>
            </w:pPr>
          </w:p>
        </w:tc>
        <w:tc>
          <w:tcPr>
            <w:tcW w:w="313" w:type="pct"/>
            <w:vMerge w:val="continue"/>
            <w:noWrap w:val="0"/>
            <w:vAlign w:val="center"/>
          </w:tcPr>
          <w:p w14:paraId="02A88B71">
            <w:pPr>
              <w:snapToGrid w:val="0"/>
              <w:spacing w:line="240" w:lineRule="exact"/>
              <w:jc w:val="center"/>
              <w:rPr>
                <w:rFonts w:hint="eastAsia" w:ascii="仿宋_GB2312" w:hAnsi="仿宋_GB2312" w:eastAsia="仿宋_GB2312" w:cs="仿宋_GB2312"/>
                <w:color w:val="000000"/>
                <w:sz w:val="20"/>
                <w:szCs w:val="20"/>
                <w:highlight w:val="none"/>
              </w:rPr>
            </w:pPr>
          </w:p>
        </w:tc>
        <w:tc>
          <w:tcPr>
            <w:tcW w:w="599" w:type="pct"/>
            <w:noWrap w:val="0"/>
            <w:vAlign w:val="center"/>
          </w:tcPr>
          <w:p w14:paraId="34FFE036">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辐射安全检查辐射安全检查</w:t>
            </w:r>
          </w:p>
        </w:tc>
        <w:tc>
          <w:tcPr>
            <w:tcW w:w="725" w:type="pct"/>
            <w:noWrap w:val="0"/>
            <w:vAlign w:val="center"/>
          </w:tcPr>
          <w:p w14:paraId="4315B3A5">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≥5家</w:t>
            </w:r>
          </w:p>
        </w:tc>
        <w:tc>
          <w:tcPr>
            <w:tcW w:w="939" w:type="pct"/>
            <w:noWrap w:val="0"/>
            <w:vAlign w:val="center"/>
          </w:tcPr>
          <w:p w14:paraId="119382D8">
            <w:pPr>
              <w:widowControl/>
              <w:snapToGrid w:val="0"/>
              <w:spacing w:line="240" w:lineRule="exact"/>
              <w:jc w:val="left"/>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 xml:space="preserve">     5家</w:t>
            </w:r>
          </w:p>
        </w:tc>
        <w:tc>
          <w:tcPr>
            <w:tcW w:w="376" w:type="pct"/>
            <w:noWrap w:val="0"/>
            <w:vAlign w:val="center"/>
          </w:tcPr>
          <w:p w14:paraId="1857E498">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5</w:t>
            </w:r>
          </w:p>
        </w:tc>
        <w:tc>
          <w:tcPr>
            <w:tcW w:w="570" w:type="pct"/>
            <w:noWrap w:val="0"/>
            <w:vAlign w:val="center"/>
          </w:tcPr>
          <w:p w14:paraId="6BB9A55A">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5</w:t>
            </w:r>
          </w:p>
        </w:tc>
        <w:tc>
          <w:tcPr>
            <w:tcW w:w="708" w:type="pct"/>
            <w:noWrap w:val="0"/>
            <w:vAlign w:val="center"/>
          </w:tcPr>
          <w:p w14:paraId="0ABE7029">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FC3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72F29F7F">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continue"/>
            <w:noWrap w:val="0"/>
            <w:vAlign w:val="center"/>
          </w:tcPr>
          <w:p w14:paraId="09F95FE2">
            <w:pPr>
              <w:snapToGrid w:val="0"/>
              <w:spacing w:line="240" w:lineRule="exact"/>
              <w:jc w:val="left"/>
              <w:rPr>
                <w:rFonts w:hint="eastAsia" w:ascii="仿宋_GB2312" w:hAnsi="仿宋_GB2312" w:eastAsia="仿宋_GB2312" w:cs="仿宋_GB2312"/>
                <w:color w:val="000000"/>
                <w:sz w:val="20"/>
                <w:szCs w:val="20"/>
                <w:highlight w:val="none"/>
              </w:rPr>
            </w:pPr>
          </w:p>
        </w:tc>
        <w:tc>
          <w:tcPr>
            <w:tcW w:w="313" w:type="pct"/>
            <w:vMerge w:val="restart"/>
            <w:noWrap w:val="0"/>
            <w:vAlign w:val="center"/>
          </w:tcPr>
          <w:p w14:paraId="6D507948">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599" w:type="pct"/>
            <w:noWrap w:val="0"/>
            <w:vAlign w:val="center"/>
          </w:tcPr>
          <w:p w14:paraId="26C1A8F8">
            <w:pPr>
              <w:widowControl/>
              <w:snapToGrid w:val="0"/>
              <w:spacing w:line="240" w:lineRule="exact"/>
              <w:jc w:val="both"/>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空气环境质量达标</w:t>
            </w:r>
          </w:p>
        </w:tc>
        <w:tc>
          <w:tcPr>
            <w:tcW w:w="725" w:type="pct"/>
            <w:noWrap w:val="0"/>
            <w:vAlign w:val="center"/>
          </w:tcPr>
          <w:p w14:paraId="19A4EC1A">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≥85%</w:t>
            </w:r>
          </w:p>
        </w:tc>
        <w:tc>
          <w:tcPr>
            <w:tcW w:w="939" w:type="pct"/>
            <w:noWrap w:val="0"/>
            <w:vAlign w:val="center"/>
          </w:tcPr>
          <w:p w14:paraId="2F576CDD">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91.5%</w:t>
            </w:r>
          </w:p>
        </w:tc>
        <w:tc>
          <w:tcPr>
            <w:tcW w:w="376" w:type="pct"/>
            <w:noWrap w:val="0"/>
            <w:vAlign w:val="center"/>
          </w:tcPr>
          <w:p w14:paraId="0561AC34">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570" w:type="pct"/>
            <w:noWrap w:val="0"/>
            <w:vAlign w:val="center"/>
          </w:tcPr>
          <w:p w14:paraId="048C0100">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708" w:type="pct"/>
            <w:noWrap w:val="0"/>
            <w:vAlign w:val="center"/>
          </w:tcPr>
          <w:p w14:paraId="71D95EE4">
            <w:pPr>
              <w:widowControl/>
              <w:snapToGrid w:val="0"/>
              <w:spacing w:line="240" w:lineRule="exact"/>
              <w:jc w:val="left"/>
              <w:rPr>
                <w:rFonts w:hint="eastAsia" w:ascii="仿宋_GB2312" w:hAnsi="仿宋_GB2312" w:eastAsia="仿宋_GB2312" w:cs="仿宋_GB2312"/>
                <w:color w:val="000000"/>
                <w:sz w:val="20"/>
                <w:szCs w:val="20"/>
                <w:highlight w:val="none"/>
                <w:lang w:val="en-US" w:eastAsia="zh-CN"/>
              </w:rPr>
            </w:pPr>
          </w:p>
        </w:tc>
      </w:tr>
      <w:tr w14:paraId="3863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48582DFD">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continue"/>
            <w:noWrap w:val="0"/>
            <w:vAlign w:val="center"/>
          </w:tcPr>
          <w:p w14:paraId="7C40ACDC">
            <w:pPr>
              <w:snapToGrid w:val="0"/>
              <w:spacing w:line="240" w:lineRule="exact"/>
              <w:jc w:val="left"/>
              <w:rPr>
                <w:rFonts w:hint="eastAsia" w:ascii="仿宋_GB2312" w:hAnsi="仿宋_GB2312" w:eastAsia="仿宋_GB2312" w:cs="仿宋_GB2312"/>
                <w:color w:val="000000"/>
                <w:sz w:val="20"/>
                <w:szCs w:val="20"/>
                <w:highlight w:val="none"/>
              </w:rPr>
            </w:pPr>
          </w:p>
        </w:tc>
        <w:tc>
          <w:tcPr>
            <w:tcW w:w="313" w:type="pct"/>
            <w:vMerge w:val="continue"/>
            <w:noWrap w:val="0"/>
            <w:vAlign w:val="center"/>
          </w:tcPr>
          <w:p w14:paraId="0A2DDF55">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599" w:type="pct"/>
            <w:noWrap w:val="0"/>
            <w:vAlign w:val="center"/>
          </w:tcPr>
          <w:p w14:paraId="48CCA7AB">
            <w:pPr>
              <w:widowControl/>
              <w:snapToGrid w:val="0"/>
              <w:spacing w:line="240" w:lineRule="exact"/>
              <w:jc w:val="both"/>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信访投诉处理率</w:t>
            </w:r>
          </w:p>
        </w:tc>
        <w:tc>
          <w:tcPr>
            <w:tcW w:w="725" w:type="pct"/>
            <w:noWrap w:val="0"/>
            <w:vAlign w:val="center"/>
          </w:tcPr>
          <w:p w14:paraId="60A48E95">
            <w:pPr>
              <w:widowControl/>
              <w:snapToGrid w:val="0"/>
              <w:spacing w:line="240" w:lineRule="exact"/>
              <w:ind w:firstLine="400" w:firstLineChars="200"/>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100%</w:t>
            </w:r>
          </w:p>
        </w:tc>
        <w:tc>
          <w:tcPr>
            <w:tcW w:w="939" w:type="pct"/>
            <w:noWrap w:val="0"/>
            <w:vAlign w:val="center"/>
          </w:tcPr>
          <w:p w14:paraId="0C8651DD">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100%</w:t>
            </w:r>
          </w:p>
        </w:tc>
        <w:tc>
          <w:tcPr>
            <w:tcW w:w="376" w:type="pct"/>
            <w:noWrap w:val="0"/>
            <w:vAlign w:val="center"/>
          </w:tcPr>
          <w:p w14:paraId="3872B0A7">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5</w:t>
            </w:r>
          </w:p>
        </w:tc>
        <w:tc>
          <w:tcPr>
            <w:tcW w:w="570" w:type="pct"/>
            <w:noWrap w:val="0"/>
            <w:vAlign w:val="center"/>
          </w:tcPr>
          <w:p w14:paraId="11951424">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5</w:t>
            </w:r>
          </w:p>
        </w:tc>
        <w:tc>
          <w:tcPr>
            <w:tcW w:w="708" w:type="pct"/>
            <w:noWrap w:val="0"/>
            <w:vAlign w:val="center"/>
          </w:tcPr>
          <w:p w14:paraId="551F6B2A">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280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42459B09">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continue"/>
            <w:noWrap w:val="0"/>
            <w:vAlign w:val="center"/>
          </w:tcPr>
          <w:p w14:paraId="351D4987">
            <w:pPr>
              <w:snapToGrid w:val="0"/>
              <w:spacing w:line="240" w:lineRule="exact"/>
              <w:jc w:val="left"/>
              <w:rPr>
                <w:rFonts w:hint="eastAsia" w:ascii="仿宋_GB2312" w:hAnsi="仿宋_GB2312" w:eastAsia="仿宋_GB2312" w:cs="仿宋_GB2312"/>
                <w:color w:val="000000"/>
                <w:sz w:val="20"/>
                <w:szCs w:val="20"/>
                <w:highlight w:val="none"/>
              </w:rPr>
            </w:pPr>
          </w:p>
        </w:tc>
        <w:tc>
          <w:tcPr>
            <w:tcW w:w="313" w:type="pct"/>
            <w:noWrap w:val="0"/>
            <w:vAlign w:val="center"/>
          </w:tcPr>
          <w:p w14:paraId="7A139980">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599" w:type="pct"/>
            <w:noWrap w:val="0"/>
            <w:vAlign w:val="center"/>
          </w:tcPr>
          <w:p w14:paraId="01CAFAD5">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按时完成年度任务</w:t>
            </w:r>
          </w:p>
        </w:tc>
        <w:tc>
          <w:tcPr>
            <w:tcW w:w="725" w:type="pct"/>
            <w:noWrap w:val="0"/>
            <w:vAlign w:val="center"/>
          </w:tcPr>
          <w:p w14:paraId="5DAAE383">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2025年12月31日</w:t>
            </w:r>
          </w:p>
        </w:tc>
        <w:tc>
          <w:tcPr>
            <w:tcW w:w="939" w:type="pct"/>
            <w:noWrap w:val="0"/>
            <w:vAlign w:val="center"/>
          </w:tcPr>
          <w:p w14:paraId="4C2D9A61">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2025年12月31日</w:t>
            </w:r>
          </w:p>
        </w:tc>
        <w:tc>
          <w:tcPr>
            <w:tcW w:w="376" w:type="pct"/>
            <w:noWrap w:val="0"/>
            <w:vAlign w:val="center"/>
          </w:tcPr>
          <w:p w14:paraId="78E86C31">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570" w:type="pct"/>
            <w:noWrap w:val="0"/>
            <w:vAlign w:val="center"/>
          </w:tcPr>
          <w:p w14:paraId="5E79598A">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708" w:type="pct"/>
            <w:noWrap w:val="0"/>
            <w:vAlign w:val="center"/>
          </w:tcPr>
          <w:p w14:paraId="63D3D1A6">
            <w:pPr>
              <w:widowControl/>
              <w:snapToGrid w:val="0"/>
              <w:spacing w:line="240" w:lineRule="exact"/>
              <w:jc w:val="left"/>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　</w:t>
            </w:r>
          </w:p>
          <w:p w14:paraId="2DC60859">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　</w:t>
            </w:r>
          </w:p>
        </w:tc>
      </w:tr>
      <w:tr w14:paraId="4797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1A27F422">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restart"/>
            <w:noWrap w:val="0"/>
            <w:vAlign w:val="center"/>
          </w:tcPr>
          <w:p w14:paraId="6E658392">
            <w:pPr>
              <w:widowControl/>
              <w:snapToGrid w:val="0"/>
              <w:spacing w:line="240" w:lineRule="exact"/>
              <w:jc w:val="center"/>
              <w:rPr>
                <w:rFonts w:hint="eastAsia" w:ascii="仿宋_GB2312" w:hAnsi="仿宋_GB2312" w:eastAsia="仿宋_GB2312" w:cs="仿宋_GB2312"/>
                <w:color w:val="000000"/>
                <w:sz w:val="20"/>
                <w:szCs w:val="20"/>
                <w:highlight w:val="none"/>
              </w:rPr>
            </w:pPr>
          </w:p>
          <w:p w14:paraId="65D926F5">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79BD2F19">
            <w:pPr>
              <w:widowControl/>
              <w:snapToGrid w:val="0"/>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0分）</w:t>
            </w:r>
          </w:p>
          <w:p w14:paraId="3E70D8B4">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13" w:type="pct"/>
            <w:noWrap w:val="0"/>
            <w:vAlign w:val="center"/>
          </w:tcPr>
          <w:p w14:paraId="22917E0D">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5F2B2CE4">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599" w:type="pct"/>
            <w:noWrap w:val="0"/>
            <w:vAlign w:val="center"/>
          </w:tcPr>
          <w:p w14:paraId="619361F2">
            <w:pPr>
              <w:widowControl/>
              <w:snapToGrid w:val="0"/>
              <w:spacing w:line="240" w:lineRule="exact"/>
              <w:jc w:val="both"/>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实现节能减排，减少环保治理经费</w:t>
            </w:r>
          </w:p>
        </w:tc>
        <w:tc>
          <w:tcPr>
            <w:tcW w:w="725" w:type="pct"/>
            <w:noWrap w:val="0"/>
            <w:vAlign w:val="center"/>
          </w:tcPr>
          <w:p w14:paraId="547A4ADD">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经济效益较好</w:t>
            </w:r>
          </w:p>
        </w:tc>
        <w:tc>
          <w:tcPr>
            <w:tcW w:w="939" w:type="pct"/>
            <w:noWrap w:val="0"/>
            <w:vAlign w:val="center"/>
          </w:tcPr>
          <w:p w14:paraId="7A1D3F29">
            <w:pPr>
              <w:widowControl/>
              <w:snapToGrid w:val="0"/>
              <w:spacing w:line="240" w:lineRule="exact"/>
              <w:jc w:val="left"/>
              <w:rPr>
                <w:rFonts w:hint="eastAsia" w:ascii="仿宋_GB2312" w:hAnsi="仿宋_GB2312" w:eastAsia="仿宋_GB2312" w:cs="仿宋_GB2312"/>
                <w:color w:val="000000"/>
                <w:kern w:val="0"/>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经济效益较好</w:t>
            </w:r>
          </w:p>
        </w:tc>
        <w:tc>
          <w:tcPr>
            <w:tcW w:w="376" w:type="pct"/>
            <w:noWrap w:val="0"/>
            <w:vAlign w:val="center"/>
          </w:tcPr>
          <w:p w14:paraId="1261961F">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570" w:type="pct"/>
            <w:noWrap w:val="0"/>
            <w:vAlign w:val="center"/>
          </w:tcPr>
          <w:p w14:paraId="239A7F41">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708" w:type="pct"/>
            <w:noWrap w:val="0"/>
            <w:vAlign w:val="center"/>
          </w:tcPr>
          <w:p w14:paraId="380DBAD9">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7A2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71E85EC5">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continue"/>
            <w:noWrap w:val="0"/>
            <w:vAlign w:val="center"/>
          </w:tcPr>
          <w:p w14:paraId="75180550">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13" w:type="pct"/>
            <w:noWrap w:val="0"/>
            <w:vAlign w:val="center"/>
          </w:tcPr>
          <w:p w14:paraId="0D3C274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1BE64CA">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599" w:type="pct"/>
            <w:shd w:val="clear" w:color="auto" w:fill="auto"/>
            <w:noWrap w:val="0"/>
            <w:vAlign w:val="center"/>
          </w:tcPr>
          <w:p w14:paraId="3C908EA2">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改善居民生产、生活环境</w:t>
            </w:r>
          </w:p>
        </w:tc>
        <w:tc>
          <w:tcPr>
            <w:tcW w:w="725" w:type="pct"/>
            <w:shd w:val="clear" w:color="auto" w:fill="auto"/>
            <w:noWrap w:val="0"/>
            <w:vAlign w:val="center"/>
          </w:tcPr>
          <w:p w14:paraId="10B893CC">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939" w:type="pct"/>
            <w:shd w:val="clear" w:color="auto" w:fill="auto"/>
            <w:noWrap w:val="0"/>
            <w:vAlign w:val="center"/>
          </w:tcPr>
          <w:p w14:paraId="260E6451">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有所改善</w:t>
            </w:r>
          </w:p>
        </w:tc>
        <w:tc>
          <w:tcPr>
            <w:tcW w:w="376" w:type="pct"/>
            <w:shd w:val="clear" w:color="auto" w:fill="auto"/>
            <w:noWrap w:val="0"/>
            <w:vAlign w:val="center"/>
          </w:tcPr>
          <w:p w14:paraId="5428F5F6">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570" w:type="pct"/>
            <w:shd w:val="clear" w:color="auto" w:fill="auto"/>
            <w:noWrap w:val="0"/>
            <w:vAlign w:val="center"/>
          </w:tcPr>
          <w:p w14:paraId="4E51A7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708" w:type="pct"/>
            <w:noWrap w:val="0"/>
            <w:vAlign w:val="center"/>
          </w:tcPr>
          <w:p w14:paraId="18B05385">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234C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7D5D16EF">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continue"/>
            <w:noWrap w:val="0"/>
            <w:vAlign w:val="center"/>
          </w:tcPr>
          <w:p w14:paraId="4669B692">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13" w:type="pct"/>
            <w:noWrap w:val="0"/>
            <w:vAlign w:val="center"/>
          </w:tcPr>
          <w:p w14:paraId="662587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EF2859E">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599" w:type="pct"/>
            <w:shd w:val="clear" w:color="auto" w:fill="auto"/>
            <w:noWrap w:val="0"/>
            <w:vAlign w:val="center"/>
          </w:tcPr>
          <w:p w14:paraId="57816E21">
            <w:pPr>
              <w:widowControl/>
              <w:spacing w:line="240" w:lineRule="exact"/>
              <w:jc w:val="center"/>
              <w:rPr>
                <w:rFonts w:hint="eastAsia" w:ascii="仿宋_GB2312" w:hAnsi="宋体" w:eastAsia="仿宋_GB2312" w:cs="仿宋_GB2312"/>
                <w:i w:val="0"/>
                <w:iCs w:val="0"/>
                <w:color w:val="000000"/>
                <w:kern w:val="0"/>
                <w:sz w:val="20"/>
                <w:szCs w:val="20"/>
                <w:u w:val="none"/>
                <w:lang w:val="en-US" w:eastAsia="zh-CN" w:bidi="ar"/>
              </w:rPr>
            </w:pPr>
          </w:p>
        </w:tc>
        <w:tc>
          <w:tcPr>
            <w:tcW w:w="725" w:type="pct"/>
            <w:shd w:val="clear" w:color="auto" w:fill="auto"/>
            <w:noWrap w:val="0"/>
            <w:vAlign w:val="center"/>
          </w:tcPr>
          <w:p w14:paraId="31A8EAA6">
            <w:pPr>
              <w:widowControl/>
              <w:spacing w:line="240" w:lineRule="exact"/>
              <w:jc w:val="center"/>
              <w:rPr>
                <w:rFonts w:hint="eastAsia" w:ascii="仿宋_GB2312" w:hAnsi="宋体" w:eastAsia="仿宋_GB2312" w:cs="仿宋_GB2312"/>
                <w:i w:val="0"/>
                <w:iCs w:val="0"/>
                <w:color w:val="000000"/>
                <w:kern w:val="0"/>
                <w:sz w:val="20"/>
                <w:szCs w:val="20"/>
                <w:u w:val="none"/>
                <w:lang w:val="en-US" w:eastAsia="zh-CN" w:bidi="ar"/>
              </w:rPr>
            </w:pPr>
          </w:p>
        </w:tc>
        <w:tc>
          <w:tcPr>
            <w:tcW w:w="939" w:type="pct"/>
            <w:shd w:val="clear" w:color="auto" w:fill="auto"/>
            <w:noWrap w:val="0"/>
            <w:vAlign w:val="center"/>
          </w:tcPr>
          <w:p w14:paraId="6DB88CAE">
            <w:pPr>
              <w:widowControl/>
              <w:spacing w:line="240" w:lineRule="exact"/>
              <w:jc w:val="center"/>
              <w:rPr>
                <w:rFonts w:hint="eastAsia" w:ascii="仿宋_GB2312" w:hAnsi="宋体" w:eastAsia="仿宋_GB2312" w:cs="仿宋_GB2312"/>
                <w:i w:val="0"/>
                <w:iCs w:val="0"/>
                <w:color w:val="000000"/>
                <w:kern w:val="0"/>
                <w:sz w:val="20"/>
                <w:szCs w:val="20"/>
                <w:u w:val="none"/>
                <w:lang w:val="en-US" w:eastAsia="zh-CN" w:bidi="ar"/>
              </w:rPr>
            </w:pPr>
          </w:p>
        </w:tc>
        <w:tc>
          <w:tcPr>
            <w:tcW w:w="376" w:type="pct"/>
            <w:shd w:val="clear" w:color="auto" w:fill="auto"/>
            <w:noWrap w:val="0"/>
            <w:vAlign w:val="center"/>
          </w:tcPr>
          <w:p w14:paraId="18D7AF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570" w:type="pct"/>
            <w:shd w:val="clear" w:color="auto" w:fill="auto"/>
            <w:noWrap w:val="0"/>
            <w:vAlign w:val="center"/>
          </w:tcPr>
          <w:p w14:paraId="683842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708" w:type="pct"/>
            <w:noWrap w:val="0"/>
            <w:vAlign w:val="center"/>
          </w:tcPr>
          <w:p w14:paraId="6DC5DBCE">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36EA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3BA37DA5">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vMerge w:val="continue"/>
            <w:noWrap w:val="0"/>
            <w:vAlign w:val="center"/>
          </w:tcPr>
          <w:p w14:paraId="4094C71E">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13" w:type="pct"/>
            <w:noWrap w:val="0"/>
            <w:vAlign w:val="center"/>
          </w:tcPr>
          <w:p w14:paraId="355A85E2">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599" w:type="pct"/>
            <w:shd w:val="clear" w:color="auto" w:fill="auto"/>
            <w:noWrap w:val="0"/>
            <w:vAlign w:val="center"/>
          </w:tcPr>
          <w:p w14:paraId="24E27C43">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725" w:type="pct"/>
            <w:shd w:val="clear" w:color="auto" w:fill="auto"/>
            <w:noWrap w:val="0"/>
            <w:vAlign w:val="center"/>
          </w:tcPr>
          <w:p w14:paraId="5945DBD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有可持续影响</w:t>
            </w:r>
          </w:p>
        </w:tc>
        <w:tc>
          <w:tcPr>
            <w:tcW w:w="939" w:type="pct"/>
            <w:shd w:val="clear" w:color="auto" w:fill="auto"/>
            <w:noWrap w:val="0"/>
            <w:vAlign w:val="center"/>
          </w:tcPr>
          <w:p w14:paraId="17D6E40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宋体" w:eastAsia="仿宋_GB2312" w:cs="仿宋_GB2312"/>
                <w:i w:val="0"/>
                <w:iCs w:val="0"/>
                <w:color w:val="000000"/>
                <w:kern w:val="0"/>
                <w:sz w:val="20"/>
                <w:szCs w:val="20"/>
                <w:u w:val="none"/>
                <w:lang w:val="en-US" w:eastAsia="zh-CN" w:bidi="ar"/>
              </w:rPr>
              <w:t>本区的环境质量得到持续改善</w:t>
            </w:r>
          </w:p>
        </w:tc>
        <w:tc>
          <w:tcPr>
            <w:tcW w:w="376" w:type="pct"/>
            <w:shd w:val="clear" w:color="auto" w:fill="auto"/>
            <w:noWrap w:val="0"/>
            <w:vAlign w:val="center"/>
          </w:tcPr>
          <w:p w14:paraId="362D69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570" w:type="pct"/>
            <w:shd w:val="clear" w:color="auto" w:fill="auto"/>
            <w:noWrap w:val="0"/>
            <w:vAlign w:val="center"/>
          </w:tcPr>
          <w:p w14:paraId="76DA73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708" w:type="pct"/>
            <w:noWrap w:val="0"/>
            <w:vAlign w:val="center"/>
          </w:tcPr>
          <w:p w14:paraId="2519633E">
            <w:pPr>
              <w:widowControl/>
              <w:snapToGrid w:val="0"/>
              <w:spacing w:line="240" w:lineRule="exact"/>
              <w:jc w:val="left"/>
              <w:rPr>
                <w:rFonts w:hint="eastAsia" w:ascii="仿宋_GB2312" w:hAnsi="仿宋_GB2312" w:eastAsia="仿宋_GB2312" w:cs="仿宋_GB2312"/>
                <w:color w:val="000000"/>
                <w:sz w:val="20"/>
                <w:szCs w:val="20"/>
                <w:highlight w:val="none"/>
              </w:rPr>
            </w:pPr>
          </w:p>
        </w:tc>
      </w:tr>
      <w:tr w14:paraId="5AF4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vMerge w:val="continue"/>
            <w:noWrap w:val="0"/>
            <w:vAlign w:val="center"/>
          </w:tcPr>
          <w:p w14:paraId="79698A4F">
            <w:pPr>
              <w:snapToGrid w:val="0"/>
              <w:spacing w:line="240" w:lineRule="exact"/>
              <w:jc w:val="left"/>
              <w:rPr>
                <w:rFonts w:hint="eastAsia" w:ascii="仿宋_GB2312" w:hAnsi="仿宋_GB2312" w:eastAsia="仿宋_GB2312" w:cs="仿宋_GB2312"/>
                <w:color w:val="000000"/>
                <w:sz w:val="20"/>
                <w:szCs w:val="20"/>
                <w:highlight w:val="none"/>
              </w:rPr>
            </w:pPr>
          </w:p>
        </w:tc>
        <w:tc>
          <w:tcPr>
            <w:tcW w:w="373" w:type="pct"/>
            <w:noWrap w:val="0"/>
            <w:vAlign w:val="center"/>
          </w:tcPr>
          <w:p w14:paraId="2C3FA6A6">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28313DBD">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7CF9D65B">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313" w:type="pct"/>
            <w:noWrap w:val="0"/>
            <w:vAlign w:val="center"/>
          </w:tcPr>
          <w:p w14:paraId="22479537">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599" w:type="pct"/>
            <w:noWrap w:val="0"/>
            <w:vAlign w:val="center"/>
          </w:tcPr>
          <w:p w14:paraId="665220E7">
            <w:pPr>
              <w:keepNext w:val="0"/>
              <w:keepLines w:val="0"/>
              <w:pageBreakBefore w:val="0"/>
              <w:widowControl/>
              <w:kinsoku/>
              <w:wordWrap/>
              <w:overflowPunct/>
              <w:topLinePunct w:val="0"/>
              <w:autoSpaceDE/>
              <w:autoSpaceDN/>
              <w:bidi w:val="0"/>
              <w:adjustRightInd/>
              <w:snapToGrid w:val="0"/>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南湖新区全体人民群众</w:t>
            </w:r>
          </w:p>
        </w:tc>
        <w:tc>
          <w:tcPr>
            <w:tcW w:w="725" w:type="pct"/>
            <w:noWrap w:val="0"/>
            <w:vAlign w:val="center"/>
          </w:tcPr>
          <w:p w14:paraId="017D81FF">
            <w:pPr>
              <w:keepNext w:val="0"/>
              <w:keepLines w:val="0"/>
              <w:pageBreakBefore w:val="0"/>
              <w:widowControl/>
              <w:kinsoku/>
              <w:wordWrap/>
              <w:overflowPunct/>
              <w:topLinePunct w:val="0"/>
              <w:autoSpaceDE/>
              <w:autoSpaceDN/>
              <w:bidi w:val="0"/>
              <w:adjustRightInd/>
              <w:snapToGrid w:val="0"/>
              <w:spacing w:line="260" w:lineRule="exact"/>
              <w:ind w:firstLine="200" w:firstLineChars="10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≥90%</w:t>
            </w:r>
          </w:p>
        </w:tc>
        <w:tc>
          <w:tcPr>
            <w:tcW w:w="939" w:type="pct"/>
            <w:noWrap w:val="0"/>
            <w:vAlign w:val="center"/>
          </w:tcPr>
          <w:p w14:paraId="2B362931">
            <w:pPr>
              <w:keepNext w:val="0"/>
              <w:keepLines w:val="0"/>
              <w:pageBreakBefore w:val="0"/>
              <w:widowControl/>
              <w:kinsoku/>
              <w:wordWrap/>
              <w:overflowPunct/>
              <w:topLinePunct w:val="0"/>
              <w:autoSpaceDE/>
              <w:autoSpaceDN/>
              <w:bidi w:val="0"/>
              <w:adjustRightInd/>
              <w:snapToGrid w:val="0"/>
              <w:spacing w:line="260" w:lineRule="exact"/>
              <w:ind w:firstLine="400" w:firstLineChars="200"/>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95%</w:t>
            </w:r>
          </w:p>
        </w:tc>
        <w:tc>
          <w:tcPr>
            <w:tcW w:w="376" w:type="pct"/>
            <w:noWrap w:val="0"/>
            <w:vAlign w:val="center"/>
          </w:tcPr>
          <w:p w14:paraId="781D2988">
            <w:pPr>
              <w:widowControl/>
              <w:snapToGrid w:val="0"/>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570" w:type="pct"/>
            <w:noWrap w:val="0"/>
            <w:vAlign w:val="center"/>
          </w:tcPr>
          <w:p w14:paraId="03B39626">
            <w:pPr>
              <w:widowControl/>
              <w:snapToGrid w:val="0"/>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708" w:type="pct"/>
            <w:noWrap w:val="0"/>
            <w:vAlign w:val="center"/>
          </w:tcPr>
          <w:p w14:paraId="33D40687">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AEB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5" w:type="pct"/>
            <w:noWrap w:val="0"/>
            <w:vAlign w:val="center"/>
          </w:tcPr>
          <w:p w14:paraId="645B5194">
            <w:pPr>
              <w:widowControl/>
              <w:snapToGrid w:val="0"/>
              <w:spacing w:line="240" w:lineRule="exact"/>
              <w:jc w:val="center"/>
              <w:rPr>
                <w:rFonts w:hint="eastAsia" w:ascii="仿宋_GB2312" w:hAnsi="仿宋_GB2312" w:eastAsia="仿宋_GB2312" w:cs="仿宋_GB2312"/>
                <w:color w:val="000000"/>
                <w:sz w:val="20"/>
                <w:szCs w:val="20"/>
                <w:highlight w:val="none"/>
              </w:rPr>
            </w:pPr>
          </w:p>
        </w:tc>
        <w:tc>
          <w:tcPr>
            <w:tcW w:w="373" w:type="pct"/>
            <w:noWrap w:val="0"/>
            <w:vAlign w:val="center"/>
          </w:tcPr>
          <w:p w14:paraId="1AEC037C">
            <w:pPr>
              <w:widowControl/>
              <w:snapToGrid w:val="0"/>
              <w:spacing w:line="240" w:lineRule="exact"/>
              <w:jc w:val="center"/>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成本指标</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r>
              <w:rPr>
                <w:rFonts w:hint="eastAsia" w:ascii="仿宋_GB2312" w:hAnsi="仿宋_GB2312" w:eastAsia="仿宋_GB2312" w:cs="仿宋_GB2312"/>
                <w:color w:val="000000"/>
                <w:sz w:val="20"/>
                <w:szCs w:val="20"/>
                <w:highlight w:val="none"/>
                <w:lang w:eastAsia="zh-CN"/>
              </w:rPr>
              <w:t>）</w:t>
            </w:r>
          </w:p>
        </w:tc>
        <w:tc>
          <w:tcPr>
            <w:tcW w:w="313" w:type="pct"/>
            <w:noWrap w:val="0"/>
            <w:vAlign w:val="center"/>
          </w:tcPr>
          <w:p w14:paraId="786A6AA8">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经济成本指标</w:t>
            </w:r>
          </w:p>
        </w:tc>
        <w:tc>
          <w:tcPr>
            <w:tcW w:w="599" w:type="pct"/>
            <w:noWrap w:val="0"/>
            <w:vAlign w:val="center"/>
          </w:tcPr>
          <w:p w14:paraId="0E7ECDCF">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预算整体支出控制在预算范围内</w:t>
            </w:r>
          </w:p>
        </w:tc>
        <w:tc>
          <w:tcPr>
            <w:tcW w:w="725" w:type="pct"/>
            <w:noWrap w:val="0"/>
            <w:vAlign w:val="center"/>
          </w:tcPr>
          <w:p w14:paraId="19F32CB1">
            <w:pPr>
              <w:widowControl/>
              <w:snapToGrid w:val="0"/>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263.58</w:t>
            </w:r>
          </w:p>
        </w:tc>
        <w:tc>
          <w:tcPr>
            <w:tcW w:w="939" w:type="pct"/>
            <w:noWrap w:val="0"/>
            <w:vAlign w:val="center"/>
          </w:tcPr>
          <w:p w14:paraId="1FABD71A">
            <w:pPr>
              <w:widowControl/>
              <w:snapToGrid w:val="0"/>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263.</w:t>
            </w:r>
            <w:r>
              <w:rPr>
                <w:rFonts w:hint="eastAsia" w:ascii="仿宋_GB2312" w:hAnsi="仿宋_GB2312" w:eastAsia="仿宋_GB2312" w:cs="仿宋_GB2312"/>
                <w:color w:val="000000"/>
                <w:sz w:val="20"/>
                <w:szCs w:val="20"/>
                <w:highlight w:val="none"/>
                <w:lang w:val="en-US" w:eastAsia="zh-CN"/>
              </w:rPr>
              <w:t>05</w:t>
            </w:r>
          </w:p>
        </w:tc>
        <w:tc>
          <w:tcPr>
            <w:tcW w:w="376" w:type="pct"/>
            <w:noWrap w:val="0"/>
            <w:vAlign w:val="center"/>
          </w:tcPr>
          <w:p w14:paraId="1EAB8B53">
            <w:pPr>
              <w:widowControl/>
              <w:snapToGrid w:val="0"/>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570" w:type="pct"/>
            <w:noWrap w:val="0"/>
            <w:vAlign w:val="center"/>
          </w:tcPr>
          <w:p w14:paraId="04D42A5F">
            <w:pPr>
              <w:widowControl/>
              <w:snapToGrid w:val="0"/>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708" w:type="pct"/>
            <w:noWrap w:val="0"/>
            <w:vAlign w:val="center"/>
          </w:tcPr>
          <w:p w14:paraId="2989802D">
            <w:pPr>
              <w:widowControl/>
              <w:snapToGrid w:val="0"/>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EB7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345" w:type="pct"/>
            <w:gridSpan w:val="6"/>
            <w:shd w:val="clear" w:color="auto" w:fill="auto"/>
            <w:noWrap w:val="0"/>
            <w:vAlign w:val="center"/>
          </w:tcPr>
          <w:p w14:paraId="6D604A80">
            <w:pPr>
              <w:widowControl/>
              <w:snapToGrid w:val="0"/>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总分</w:t>
            </w:r>
          </w:p>
        </w:tc>
        <w:tc>
          <w:tcPr>
            <w:tcW w:w="376" w:type="pct"/>
            <w:shd w:val="clear" w:color="auto" w:fill="auto"/>
            <w:noWrap w:val="0"/>
            <w:vAlign w:val="center"/>
          </w:tcPr>
          <w:p w14:paraId="064CB01B">
            <w:pPr>
              <w:widowControl/>
              <w:snapToGrid w:val="0"/>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100</w:t>
            </w:r>
          </w:p>
        </w:tc>
        <w:tc>
          <w:tcPr>
            <w:tcW w:w="570" w:type="pct"/>
            <w:shd w:val="clear" w:color="auto" w:fill="auto"/>
            <w:noWrap w:val="0"/>
            <w:vAlign w:val="center"/>
          </w:tcPr>
          <w:p w14:paraId="4DEF57C1">
            <w:pPr>
              <w:widowControl/>
              <w:snapToGrid w:val="0"/>
              <w:spacing w:line="240" w:lineRule="exact"/>
              <w:jc w:val="center"/>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98.58</w:t>
            </w:r>
          </w:p>
        </w:tc>
        <w:tc>
          <w:tcPr>
            <w:tcW w:w="708" w:type="pct"/>
            <w:noWrap w:val="0"/>
            <w:vAlign w:val="center"/>
          </w:tcPr>
          <w:p w14:paraId="67AF6665">
            <w:pPr>
              <w:widowControl/>
              <w:snapToGrid w:val="0"/>
              <w:spacing w:line="240" w:lineRule="exact"/>
              <w:jc w:val="left"/>
              <w:rPr>
                <w:rFonts w:hint="eastAsia" w:ascii="仿宋_GB2312" w:hAnsi="仿宋_GB2312" w:eastAsia="仿宋_GB2312" w:cs="仿宋_GB2312"/>
                <w:color w:val="000000"/>
                <w:sz w:val="20"/>
                <w:szCs w:val="20"/>
                <w:highlight w:val="none"/>
              </w:rPr>
            </w:pPr>
          </w:p>
        </w:tc>
      </w:tr>
    </w:tbl>
    <w:p w14:paraId="4E831F30">
      <w:pPr>
        <w:widowControl/>
        <w:spacing w:line="600" w:lineRule="exact"/>
        <w:jc w:val="left"/>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15D09616">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753F0454">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723F92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4FA936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055CD6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环境监察、监测等运行经费</w:t>
            </w:r>
          </w:p>
        </w:tc>
      </w:tr>
      <w:tr w14:paraId="3977B800">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5B32AB8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0DE56BA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171981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494A6F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岳阳市生态环境局南湖新区分局</w:t>
            </w:r>
          </w:p>
        </w:tc>
      </w:tr>
      <w:tr w14:paraId="4EB6A588">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5FE5B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258514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4D424B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1016E5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9AE9E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17504E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4E0D805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4CBB139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1D1ABBE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57D154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7E32232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51DD41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D319CE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24859F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2B79117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22.5</w:t>
            </w:r>
          </w:p>
        </w:tc>
        <w:tc>
          <w:tcPr>
            <w:tcW w:w="1134" w:type="dxa"/>
            <w:tcBorders>
              <w:top w:val="nil"/>
              <w:left w:val="nil"/>
              <w:bottom w:val="single" w:color="auto" w:sz="4" w:space="0"/>
              <w:right w:val="single" w:color="auto" w:sz="4" w:space="0"/>
            </w:tcBorders>
            <w:noWrap w:val="0"/>
            <w:vAlign w:val="center"/>
          </w:tcPr>
          <w:p w14:paraId="30863203">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22.5</w:t>
            </w:r>
          </w:p>
        </w:tc>
        <w:tc>
          <w:tcPr>
            <w:tcW w:w="1134" w:type="dxa"/>
            <w:tcBorders>
              <w:top w:val="nil"/>
              <w:left w:val="nil"/>
              <w:bottom w:val="single" w:color="auto" w:sz="4" w:space="0"/>
              <w:right w:val="single" w:color="auto" w:sz="4" w:space="0"/>
            </w:tcBorders>
            <w:noWrap w:val="0"/>
            <w:vAlign w:val="center"/>
          </w:tcPr>
          <w:p w14:paraId="4B6F1F58">
            <w:pPr>
              <w:widowControl/>
              <w:spacing w:line="360" w:lineRule="exact"/>
              <w:jc w:val="center"/>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rPr>
              <w:t>21.35</w:t>
            </w:r>
          </w:p>
        </w:tc>
        <w:tc>
          <w:tcPr>
            <w:tcW w:w="828" w:type="dxa"/>
            <w:tcBorders>
              <w:top w:val="nil"/>
              <w:left w:val="nil"/>
              <w:bottom w:val="single" w:color="auto" w:sz="4" w:space="0"/>
              <w:right w:val="single" w:color="auto" w:sz="4" w:space="0"/>
            </w:tcBorders>
            <w:noWrap w:val="0"/>
            <w:vAlign w:val="center"/>
          </w:tcPr>
          <w:p w14:paraId="6CBE91EB">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shd w:val="clear" w:color="auto" w:fill="BFBFBF"/>
            <w:noWrap w:val="0"/>
            <w:vAlign w:val="center"/>
          </w:tcPr>
          <w:p w14:paraId="7E8B9822">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94.89%</w:t>
            </w:r>
          </w:p>
        </w:tc>
        <w:tc>
          <w:tcPr>
            <w:tcW w:w="1418" w:type="dxa"/>
            <w:tcBorders>
              <w:top w:val="nil"/>
              <w:left w:val="nil"/>
              <w:bottom w:val="single" w:color="auto" w:sz="4" w:space="0"/>
              <w:right w:val="single" w:color="auto" w:sz="4" w:space="0"/>
            </w:tcBorders>
            <w:shd w:val="clear" w:color="auto" w:fill="BFBFBF"/>
            <w:noWrap w:val="0"/>
            <w:vAlign w:val="center"/>
          </w:tcPr>
          <w:p w14:paraId="47FD6C40">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SA"/>
              </w:rPr>
            </w:pPr>
            <w:r>
              <w:rPr>
                <w:rFonts w:hint="eastAsia" w:ascii="等线" w:hAnsi="等线" w:eastAsia="等线" w:cs="等线"/>
                <w:i w:val="0"/>
                <w:iCs w:val="0"/>
                <w:color w:val="000000"/>
                <w:kern w:val="0"/>
                <w:sz w:val="22"/>
                <w:szCs w:val="22"/>
                <w:u w:val="none"/>
                <w:lang w:val="en-US" w:eastAsia="zh-CN" w:bidi="ar"/>
              </w:rPr>
              <w:t xml:space="preserve">9.49 </w:t>
            </w:r>
          </w:p>
        </w:tc>
      </w:tr>
      <w:tr w14:paraId="0BCD076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D76EB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19602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63CF6ED8">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1134" w:type="dxa"/>
            <w:tcBorders>
              <w:top w:val="nil"/>
              <w:left w:val="nil"/>
              <w:bottom w:val="single" w:color="auto" w:sz="4" w:space="0"/>
              <w:right w:val="single" w:color="auto" w:sz="4" w:space="0"/>
            </w:tcBorders>
            <w:noWrap w:val="0"/>
            <w:vAlign w:val="center"/>
          </w:tcPr>
          <w:p w14:paraId="48B586E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1134" w:type="dxa"/>
            <w:tcBorders>
              <w:top w:val="nil"/>
              <w:left w:val="nil"/>
              <w:bottom w:val="single" w:color="auto" w:sz="4" w:space="0"/>
              <w:right w:val="single" w:color="auto" w:sz="4" w:space="0"/>
            </w:tcBorders>
            <w:noWrap w:val="0"/>
            <w:vAlign w:val="center"/>
          </w:tcPr>
          <w:p w14:paraId="5F3D83B6">
            <w:pPr>
              <w:widowControl/>
              <w:spacing w:line="360" w:lineRule="exact"/>
              <w:jc w:val="center"/>
              <w:rPr>
                <w:rFonts w:hint="default" w:ascii="仿宋_GB2312" w:hAnsi="仿宋_GB2312" w:eastAsia="仿宋_GB2312" w:cs="仿宋_GB2312"/>
                <w:color w:val="000000"/>
                <w:kern w:val="0"/>
                <w:sz w:val="20"/>
                <w:szCs w:val="20"/>
                <w:highlight w:val="none"/>
                <w:lang w:val="en-US" w:eastAsia="zh-CN" w:bidi="ar-SA"/>
              </w:rPr>
            </w:pPr>
          </w:p>
        </w:tc>
        <w:tc>
          <w:tcPr>
            <w:tcW w:w="828" w:type="dxa"/>
            <w:tcBorders>
              <w:top w:val="nil"/>
              <w:left w:val="nil"/>
              <w:bottom w:val="single" w:color="auto" w:sz="4" w:space="0"/>
              <w:right w:val="single" w:color="auto" w:sz="4" w:space="0"/>
            </w:tcBorders>
            <w:noWrap w:val="0"/>
            <w:vAlign w:val="center"/>
          </w:tcPr>
          <w:p w14:paraId="2FF837D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5102335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0847C3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286F2F0F">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507FD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723969D4">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1DD368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6EEF25C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319A0B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F0C6F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293BA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1417FA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1BE00B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AD051E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605EF7E">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1566F3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05C952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18A920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5D2F38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04394D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1876A4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B572787">
        <w:tblPrEx>
          <w:tblCellMar>
            <w:top w:w="0" w:type="dxa"/>
            <w:left w:w="108" w:type="dxa"/>
            <w:bottom w:w="0" w:type="dxa"/>
            <w:right w:w="108" w:type="dxa"/>
          </w:tblCellMar>
        </w:tblPrEx>
        <w:trPr>
          <w:jc w:val="center"/>
        </w:trPr>
        <w:tc>
          <w:tcPr>
            <w:tcW w:w="1080" w:type="dxa"/>
            <w:tcBorders>
              <w:top w:val="nil"/>
              <w:left w:val="single" w:color="auto" w:sz="4" w:space="0"/>
              <w:bottom w:val="single" w:color="000000" w:sz="4" w:space="0"/>
              <w:right w:val="single" w:color="auto" w:sz="4" w:space="0"/>
            </w:tcBorders>
            <w:noWrap w:val="0"/>
            <w:vAlign w:val="center"/>
          </w:tcPr>
          <w:p w14:paraId="4E7C2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2AFA12F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目标1、日常环境监管、执法工作；</w:t>
            </w:r>
          </w:p>
          <w:p w14:paraId="08BBD067">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目标2、委托第三方进行执法性监督监测；</w:t>
            </w:r>
          </w:p>
          <w:p w14:paraId="220DD91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目标3、环保迎检、应急处置经费；</w:t>
            </w:r>
          </w:p>
          <w:p w14:paraId="799FF300">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目标4、节能环保宣传费用。</w:t>
            </w:r>
          </w:p>
        </w:tc>
        <w:tc>
          <w:tcPr>
            <w:tcW w:w="4253" w:type="dxa"/>
            <w:gridSpan w:val="4"/>
            <w:tcBorders>
              <w:top w:val="single" w:color="auto" w:sz="4" w:space="0"/>
              <w:left w:val="nil"/>
              <w:bottom w:val="single" w:color="auto" w:sz="4" w:space="0"/>
              <w:right w:val="single" w:color="auto" w:sz="4" w:space="0"/>
            </w:tcBorders>
            <w:noWrap w:val="0"/>
            <w:vAlign w:val="center"/>
          </w:tcPr>
          <w:p w14:paraId="041E3A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73C066EC">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3DE4F6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D91D9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BE256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0C192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6DC4B98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76E3AF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4196C3D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34" w:type="dxa"/>
            <w:tcBorders>
              <w:top w:val="nil"/>
              <w:left w:val="nil"/>
              <w:bottom w:val="single" w:color="auto" w:sz="4" w:space="0"/>
              <w:right w:val="single" w:color="auto" w:sz="4" w:space="0"/>
            </w:tcBorders>
            <w:noWrap w:val="0"/>
            <w:vAlign w:val="center"/>
          </w:tcPr>
          <w:p w14:paraId="481D6B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2B291D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50D150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067E27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179BBB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ADC20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0BF7152F">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747B587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31BE9B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01DDB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66D04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11A185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30</w:t>
            </w:r>
            <w:r>
              <w:rPr>
                <w:rFonts w:hint="eastAsia" w:ascii="仿宋_GB2312" w:hAnsi="仿宋_GB2312" w:eastAsia="仿宋_GB2312" w:cs="仿宋_GB2312"/>
                <w:color w:val="000000"/>
                <w:sz w:val="20"/>
                <w:szCs w:val="20"/>
                <w:highlight w:val="none"/>
              </w:rPr>
              <w:t>分)</w:t>
            </w:r>
          </w:p>
        </w:tc>
        <w:tc>
          <w:tcPr>
            <w:tcW w:w="1080" w:type="dxa"/>
            <w:tcBorders>
              <w:top w:val="nil"/>
              <w:left w:val="nil"/>
              <w:right w:val="single" w:color="auto" w:sz="4" w:space="0"/>
            </w:tcBorders>
            <w:noWrap w:val="0"/>
            <w:vAlign w:val="center"/>
          </w:tcPr>
          <w:p w14:paraId="7DBC9D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noWrap w:val="0"/>
            <w:vAlign w:val="center"/>
          </w:tcPr>
          <w:p w14:paraId="6D5F40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空气质量数据分析</w:t>
            </w:r>
          </w:p>
        </w:tc>
        <w:tc>
          <w:tcPr>
            <w:tcW w:w="1134" w:type="dxa"/>
            <w:tcBorders>
              <w:top w:val="nil"/>
              <w:left w:val="nil"/>
              <w:bottom w:val="single" w:color="auto" w:sz="4" w:space="0"/>
              <w:right w:val="single" w:color="auto" w:sz="4" w:space="0"/>
            </w:tcBorders>
            <w:noWrap w:val="0"/>
            <w:vAlign w:val="center"/>
          </w:tcPr>
          <w:p w14:paraId="6AE2E7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两个小时一次</w:t>
            </w:r>
          </w:p>
        </w:tc>
        <w:tc>
          <w:tcPr>
            <w:tcW w:w="1134" w:type="dxa"/>
            <w:tcBorders>
              <w:top w:val="nil"/>
              <w:left w:val="nil"/>
              <w:bottom w:val="single" w:color="auto" w:sz="4" w:space="0"/>
              <w:right w:val="single" w:color="auto" w:sz="4" w:space="0"/>
            </w:tcBorders>
            <w:noWrap w:val="0"/>
            <w:vAlign w:val="center"/>
          </w:tcPr>
          <w:p w14:paraId="3660677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rPr>
              <w:t>两个小时一次</w:t>
            </w:r>
          </w:p>
        </w:tc>
        <w:tc>
          <w:tcPr>
            <w:tcW w:w="828" w:type="dxa"/>
            <w:tcBorders>
              <w:top w:val="nil"/>
              <w:left w:val="nil"/>
              <w:bottom w:val="single" w:color="auto" w:sz="4" w:space="0"/>
              <w:right w:val="single" w:color="auto" w:sz="4" w:space="0"/>
            </w:tcBorders>
            <w:noWrap w:val="0"/>
            <w:vAlign w:val="center"/>
          </w:tcPr>
          <w:p w14:paraId="60C836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003A4E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7E909E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342005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6A854B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2E6637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EF7DF6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00DC519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各种整治符合环保标准</w:t>
            </w:r>
          </w:p>
        </w:tc>
        <w:tc>
          <w:tcPr>
            <w:tcW w:w="1134" w:type="dxa"/>
            <w:tcBorders>
              <w:top w:val="nil"/>
              <w:left w:val="nil"/>
              <w:bottom w:val="single" w:color="auto" w:sz="4" w:space="0"/>
              <w:right w:val="single" w:color="auto" w:sz="4" w:space="0"/>
            </w:tcBorders>
            <w:noWrap w:val="0"/>
            <w:vAlign w:val="center"/>
          </w:tcPr>
          <w:p w14:paraId="601A4E30">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完成主要污染物减排目标</w:t>
            </w:r>
          </w:p>
        </w:tc>
        <w:tc>
          <w:tcPr>
            <w:tcW w:w="1134" w:type="dxa"/>
            <w:tcBorders>
              <w:top w:val="nil"/>
              <w:left w:val="nil"/>
              <w:bottom w:val="single" w:color="auto" w:sz="4" w:space="0"/>
              <w:right w:val="single" w:color="auto" w:sz="4" w:space="0"/>
            </w:tcBorders>
            <w:noWrap w:val="0"/>
            <w:vAlign w:val="center"/>
          </w:tcPr>
          <w:p w14:paraId="1E70D7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完成主要污染物减排目标</w:t>
            </w:r>
          </w:p>
        </w:tc>
        <w:tc>
          <w:tcPr>
            <w:tcW w:w="828" w:type="dxa"/>
            <w:tcBorders>
              <w:top w:val="nil"/>
              <w:left w:val="nil"/>
              <w:bottom w:val="single" w:color="auto" w:sz="4" w:space="0"/>
              <w:right w:val="single" w:color="auto" w:sz="4" w:space="0"/>
            </w:tcBorders>
            <w:noWrap w:val="0"/>
            <w:vAlign w:val="center"/>
          </w:tcPr>
          <w:p w14:paraId="6FE13D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D58AF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42660DB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5A1FB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B9ABB4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0A1D4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8AEF4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4A9E214C">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工作按计划完成</w:t>
            </w:r>
          </w:p>
        </w:tc>
        <w:tc>
          <w:tcPr>
            <w:tcW w:w="1134" w:type="dxa"/>
            <w:tcBorders>
              <w:top w:val="nil"/>
              <w:left w:val="nil"/>
              <w:bottom w:val="single" w:color="auto" w:sz="4" w:space="0"/>
              <w:right w:val="single" w:color="auto" w:sz="4" w:space="0"/>
            </w:tcBorders>
            <w:noWrap w:val="0"/>
            <w:vAlign w:val="center"/>
          </w:tcPr>
          <w:p w14:paraId="3F3ECC2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1134" w:type="dxa"/>
            <w:tcBorders>
              <w:top w:val="nil"/>
              <w:left w:val="nil"/>
              <w:bottom w:val="single" w:color="auto" w:sz="4" w:space="0"/>
              <w:right w:val="single" w:color="auto" w:sz="4" w:space="0"/>
            </w:tcBorders>
            <w:noWrap w:val="0"/>
            <w:vAlign w:val="center"/>
          </w:tcPr>
          <w:p w14:paraId="5000707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2025年12月31日</w:t>
            </w:r>
          </w:p>
        </w:tc>
        <w:tc>
          <w:tcPr>
            <w:tcW w:w="828" w:type="dxa"/>
            <w:tcBorders>
              <w:top w:val="nil"/>
              <w:left w:val="nil"/>
              <w:bottom w:val="single" w:color="auto" w:sz="4" w:space="0"/>
              <w:right w:val="single" w:color="auto" w:sz="4" w:space="0"/>
            </w:tcBorders>
            <w:noWrap w:val="0"/>
            <w:vAlign w:val="center"/>
          </w:tcPr>
          <w:p w14:paraId="1DFC14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10FE12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347B37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9A7318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4C55C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BE9659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4372E2E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42CD66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w:t>
            </w: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0分）</w:t>
            </w:r>
          </w:p>
          <w:p w14:paraId="4552CA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nil"/>
              <w:bottom w:val="single" w:color="auto" w:sz="4" w:space="0"/>
              <w:right w:val="single" w:color="auto" w:sz="4" w:space="0"/>
            </w:tcBorders>
            <w:noWrap w:val="0"/>
            <w:vAlign w:val="center"/>
          </w:tcPr>
          <w:p w14:paraId="7E53AE8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67964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117E6D75">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实现节能减排，减少环保治理经费</w:t>
            </w:r>
          </w:p>
        </w:tc>
        <w:tc>
          <w:tcPr>
            <w:tcW w:w="1134" w:type="dxa"/>
            <w:tcBorders>
              <w:top w:val="nil"/>
              <w:left w:val="nil"/>
              <w:bottom w:val="single" w:color="auto" w:sz="4" w:space="0"/>
              <w:right w:val="single" w:color="auto" w:sz="4" w:space="0"/>
            </w:tcBorders>
            <w:noWrap w:val="0"/>
            <w:vAlign w:val="center"/>
          </w:tcPr>
          <w:p w14:paraId="67C05598">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1134" w:type="dxa"/>
            <w:tcBorders>
              <w:top w:val="nil"/>
              <w:left w:val="nil"/>
              <w:bottom w:val="single" w:color="auto" w:sz="4" w:space="0"/>
              <w:right w:val="single" w:color="auto" w:sz="4" w:space="0"/>
            </w:tcBorders>
            <w:noWrap w:val="0"/>
            <w:vAlign w:val="center"/>
          </w:tcPr>
          <w:p w14:paraId="0A0AE12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经济平稳发展</w:t>
            </w:r>
          </w:p>
        </w:tc>
        <w:tc>
          <w:tcPr>
            <w:tcW w:w="828" w:type="dxa"/>
            <w:tcBorders>
              <w:top w:val="nil"/>
              <w:left w:val="nil"/>
              <w:bottom w:val="single" w:color="auto" w:sz="4" w:space="0"/>
              <w:right w:val="single" w:color="auto" w:sz="4" w:space="0"/>
            </w:tcBorders>
            <w:noWrap w:val="0"/>
            <w:vAlign w:val="center"/>
          </w:tcPr>
          <w:p w14:paraId="545B12BD">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6D20D34">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32348B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FD4EF9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CD764B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09876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758258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D783F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AED6F2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改善居民生产、生活环境</w:t>
            </w:r>
          </w:p>
        </w:tc>
        <w:tc>
          <w:tcPr>
            <w:tcW w:w="1134" w:type="dxa"/>
            <w:tcBorders>
              <w:top w:val="nil"/>
              <w:left w:val="nil"/>
              <w:bottom w:val="single" w:color="auto" w:sz="4" w:space="0"/>
              <w:right w:val="single" w:color="auto" w:sz="4" w:space="0"/>
            </w:tcBorders>
            <w:noWrap w:val="0"/>
            <w:vAlign w:val="center"/>
          </w:tcPr>
          <w:p w14:paraId="250039CF">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166BEDCE">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3AC5D6E3">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4377EF81">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10</w:t>
            </w:r>
          </w:p>
        </w:tc>
        <w:tc>
          <w:tcPr>
            <w:tcW w:w="1418" w:type="dxa"/>
            <w:tcBorders>
              <w:top w:val="nil"/>
              <w:left w:val="nil"/>
              <w:bottom w:val="single" w:color="auto" w:sz="4" w:space="0"/>
              <w:right w:val="single" w:color="auto" w:sz="4" w:space="0"/>
            </w:tcBorders>
            <w:noWrap w:val="0"/>
            <w:vAlign w:val="center"/>
          </w:tcPr>
          <w:p w14:paraId="69BF0B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1F1509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289592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80149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nil"/>
              <w:bottom w:val="single" w:color="auto" w:sz="4" w:space="0"/>
              <w:right w:val="single" w:color="auto" w:sz="4" w:space="0"/>
            </w:tcBorders>
            <w:noWrap w:val="0"/>
            <w:vAlign w:val="center"/>
          </w:tcPr>
          <w:p w14:paraId="10ABF2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7B596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670860D">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促进环境质量认知度</w:t>
            </w:r>
          </w:p>
        </w:tc>
        <w:tc>
          <w:tcPr>
            <w:tcW w:w="1134" w:type="dxa"/>
            <w:tcBorders>
              <w:top w:val="nil"/>
              <w:left w:val="nil"/>
              <w:bottom w:val="single" w:color="auto" w:sz="4" w:space="0"/>
              <w:right w:val="single" w:color="auto" w:sz="4" w:space="0"/>
            </w:tcBorders>
            <w:noWrap w:val="0"/>
            <w:vAlign w:val="center"/>
          </w:tcPr>
          <w:p w14:paraId="47CF8EC7">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有所改善</w:t>
            </w:r>
          </w:p>
        </w:tc>
        <w:tc>
          <w:tcPr>
            <w:tcW w:w="1134" w:type="dxa"/>
            <w:tcBorders>
              <w:top w:val="nil"/>
              <w:left w:val="nil"/>
              <w:bottom w:val="single" w:color="auto" w:sz="4" w:space="0"/>
              <w:right w:val="single" w:color="auto" w:sz="4" w:space="0"/>
            </w:tcBorders>
            <w:noWrap w:val="0"/>
            <w:vAlign w:val="center"/>
          </w:tcPr>
          <w:p w14:paraId="1169C1F6">
            <w:pPr>
              <w:widowControl/>
              <w:spacing w:line="240" w:lineRule="exact"/>
              <w:jc w:val="center"/>
              <w:rPr>
                <w:rFonts w:hint="default" w:ascii="仿宋_GB2312" w:hAnsi="仿宋_GB2312" w:eastAsia="仿宋_GB2312" w:cs="仿宋_GB2312"/>
                <w:color w:val="000000"/>
                <w:kern w:val="2"/>
                <w:sz w:val="20"/>
                <w:szCs w:val="20"/>
                <w:lang w:val="en-US" w:eastAsia="zh-CN" w:bidi="ar-SA"/>
              </w:rPr>
            </w:pPr>
            <w:r>
              <w:rPr>
                <w:rFonts w:hint="default" w:ascii="仿宋_GB2312" w:hAnsi="仿宋_GB2312" w:eastAsia="仿宋_GB2312" w:cs="仿宋_GB2312"/>
                <w:color w:val="000000"/>
                <w:kern w:val="2"/>
                <w:sz w:val="20"/>
                <w:szCs w:val="20"/>
                <w:lang w:val="en-US" w:eastAsia="zh-CN" w:bidi="ar-SA"/>
              </w:rPr>
              <w:t>有所改善</w:t>
            </w:r>
          </w:p>
        </w:tc>
        <w:tc>
          <w:tcPr>
            <w:tcW w:w="828" w:type="dxa"/>
            <w:tcBorders>
              <w:top w:val="nil"/>
              <w:left w:val="nil"/>
              <w:bottom w:val="single" w:color="auto" w:sz="4" w:space="0"/>
              <w:right w:val="single" w:color="auto" w:sz="4" w:space="0"/>
            </w:tcBorders>
            <w:noWrap w:val="0"/>
            <w:vAlign w:val="center"/>
          </w:tcPr>
          <w:p w14:paraId="5B6DA7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702B67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nil"/>
              <w:left w:val="nil"/>
              <w:bottom w:val="single" w:color="auto" w:sz="4" w:space="0"/>
              <w:right w:val="single" w:color="auto" w:sz="4" w:space="0"/>
            </w:tcBorders>
            <w:noWrap w:val="0"/>
            <w:vAlign w:val="center"/>
          </w:tcPr>
          <w:p w14:paraId="572B933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836A22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5B24E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2DF34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593BF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93045C0">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水质、土地、环境污染指数</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D51ECB">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947924">
            <w:pPr>
              <w:widowControl/>
              <w:spacing w:line="240" w:lineRule="exact"/>
              <w:jc w:val="center"/>
              <w:rPr>
                <w:rFonts w:hint="eastAsia" w:ascii="仿宋_GB2312" w:hAnsi="仿宋_GB2312" w:eastAsia="仿宋_GB2312" w:cs="仿宋_GB2312"/>
                <w:color w:val="000000"/>
                <w:kern w:val="2"/>
                <w:sz w:val="20"/>
                <w:szCs w:val="20"/>
                <w:lang w:val="en-US" w:eastAsia="zh-CN" w:bidi="ar-SA"/>
              </w:rPr>
            </w:pPr>
            <w:r>
              <w:rPr>
                <w:rFonts w:hint="eastAsia" w:ascii="仿宋_GB2312" w:hAnsi="仿宋_GB2312" w:eastAsia="仿宋_GB2312" w:cs="仿宋_GB2312"/>
                <w:color w:val="000000"/>
                <w:kern w:val="2"/>
                <w:sz w:val="20"/>
                <w:szCs w:val="20"/>
                <w:lang w:val="en-US" w:eastAsia="zh-CN" w:bidi="ar-SA"/>
              </w:rPr>
              <w:t>稳定</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A3FAE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E4E3C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857C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E9C468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710E1A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5731C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418088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7173B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nil"/>
              <w:bottom w:val="single" w:color="auto" w:sz="4" w:space="0"/>
              <w:right w:val="single" w:color="auto" w:sz="4" w:space="0"/>
            </w:tcBorders>
            <w:noWrap w:val="0"/>
            <w:vAlign w:val="center"/>
          </w:tcPr>
          <w:p w14:paraId="1C6EAB7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13DB04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社会公众满意率</w:t>
            </w:r>
          </w:p>
        </w:tc>
        <w:tc>
          <w:tcPr>
            <w:tcW w:w="1134" w:type="dxa"/>
            <w:tcBorders>
              <w:top w:val="nil"/>
              <w:left w:val="nil"/>
              <w:bottom w:val="single" w:color="auto" w:sz="4" w:space="0"/>
              <w:right w:val="single" w:color="auto" w:sz="4" w:space="0"/>
            </w:tcBorders>
            <w:noWrap w:val="0"/>
            <w:vAlign w:val="center"/>
          </w:tcPr>
          <w:p w14:paraId="7499E6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1134" w:type="dxa"/>
            <w:tcBorders>
              <w:top w:val="nil"/>
              <w:left w:val="nil"/>
              <w:bottom w:val="single" w:color="auto" w:sz="4" w:space="0"/>
              <w:right w:val="single" w:color="auto" w:sz="4" w:space="0"/>
            </w:tcBorders>
            <w:noWrap w:val="0"/>
            <w:vAlign w:val="center"/>
          </w:tcPr>
          <w:p w14:paraId="55BD02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95%</w:t>
            </w:r>
          </w:p>
        </w:tc>
        <w:tc>
          <w:tcPr>
            <w:tcW w:w="828" w:type="dxa"/>
            <w:tcBorders>
              <w:top w:val="nil"/>
              <w:left w:val="nil"/>
              <w:bottom w:val="single" w:color="auto" w:sz="4" w:space="0"/>
              <w:right w:val="single" w:color="auto" w:sz="4" w:space="0"/>
            </w:tcBorders>
            <w:noWrap w:val="0"/>
            <w:vAlign w:val="center"/>
          </w:tcPr>
          <w:p w14:paraId="0BF18E8F">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06FC5100">
            <w:pPr>
              <w:keepNext w:val="0"/>
              <w:keepLines w:val="0"/>
              <w:pageBreakBefore w:val="0"/>
              <w:widowControl/>
              <w:kinsoku/>
              <w:wordWrap/>
              <w:overflowPunct/>
              <w:topLinePunct w:val="0"/>
              <w:autoSpaceDE/>
              <w:autoSpaceDN/>
              <w:bidi w:val="0"/>
              <w:adjustRightInd/>
              <w:snapToGrid/>
              <w:spacing w:line="260" w:lineRule="exact"/>
              <w:ind w:firstLine="200" w:firstLineChars="100"/>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highlight w:val="none"/>
                <w:lang w:val="en-US" w:eastAsia="zh-CN" w:bidi="ar-SA"/>
              </w:rPr>
              <w:t xml:space="preserve"> 8</w:t>
            </w:r>
          </w:p>
        </w:tc>
        <w:tc>
          <w:tcPr>
            <w:tcW w:w="1418" w:type="dxa"/>
            <w:tcBorders>
              <w:top w:val="nil"/>
              <w:left w:val="nil"/>
              <w:bottom w:val="single" w:color="auto" w:sz="4" w:space="0"/>
              <w:right w:val="single" w:color="auto" w:sz="4" w:space="0"/>
            </w:tcBorders>
            <w:noWrap w:val="0"/>
            <w:vAlign w:val="center"/>
          </w:tcPr>
          <w:p w14:paraId="3D6FEC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未让所有人满意</w:t>
            </w:r>
          </w:p>
        </w:tc>
      </w:tr>
      <w:tr w14:paraId="25B726EE">
        <w:tblPrEx>
          <w:tblCellMar>
            <w:top w:w="0" w:type="dxa"/>
            <w:left w:w="108" w:type="dxa"/>
            <w:bottom w:w="0" w:type="dxa"/>
            <w:right w:w="108" w:type="dxa"/>
          </w:tblCellMar>
        </w:tblPrEx>
        <w:trPr>
          <w:trHeight w:val="757"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358958A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3D4D41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成本指标</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20分</w:t>
            </w:r>
            <w:r>
              <w:rPr>
                <w:rFonts w:hint="eastAsia" w:ascii="仿宋_GB2312" w:hAnsi="仿宋_GB2312" w:eastAsia="仿宋_GB2312" w:cs="仿宋_GB2312"/>
                <w:color w:val="000000"/>
                <w:sz w:val="20"/>
                <w:szCs w:val="20"/>
                <w:highlight w:val="none"/>
                <w:lang w:eastAsia="zh-CN"/>
              </w:rPr>
              <w:t>）</w:t>
            </w:r>
          </w:p>
        </w:tc>
        <w:tc>
          <w:tcPr>
            <w:tcW w:w="1080" w:type="dxa"/>
            <w:tcBorders>
              <w:top w:val="single" w:color="auto" w:sz="4" w:space="0"/>
              <w:left w:val="single" w:color="auto" w:sz="4" w:space="0"/>
              <w:bottom w:val="single" w:color="auto" w:sz="4" w:space="0"/>
              <w:right w:val="single" w:color="000000" w:sz="4" w:space="0"/>
            </w:tcBorders>
            <w:noWrap w:val="0"/>
            <w:vAlign w:val="center"/>
          </w:tcPr>
          <w:p w14:paraId="0853DE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经济成本指标</w:t>
            </w:r>
          </w:p>
        </w:tc>
        <w:tc>
          <w:tcPr>
            <w:tcW w:w="1224" w:type="dxa"/>
            <w:tcBorders>
              <w:top w:val="single" w:color="auto" w:sz="4" w:space="0"/>
              <w:left w:val="single" w:color="auto" w:sz="4" w:space="0"/>
              <w:bottom w:val="single" w:color="auto" w:sz="4" w:space="0"/>
              <w:right w:val="single" w:color="000000" w:sz="4" w:space="0"/>
            </w:tcBorders>
            <w:noWrap w:val="0"/>
            <w:vAlign w:val="center"/>
          </w:tcPr>
          <w:p w14:paraId="30D1C5B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所有的支出控制在预算内</w:t>
            </w:r>
          </w:p>
        </w:tc>
        <w:tc>
          <w:tcPr>
            <w:tcW w:w="1134" w:type="dxa"/>
            <w:tcBorders>
              <w:top w:val="single" w:color="auto" w:sz="4" w:space="0"/>
              <w:left w:val="single" w:color="auto" w:sz="4" w:space="0"/>
              <w:bottom w:val="single" w:color="auto" w:sz="4" w:space="0"/>
              <w:right w:val="single" w:color="000000" w:sz="4" w:space="0"/>
            </w:tcBorders>
            <w:noWrap w:val="0"/>
            <w:vAlign w:val="center"/>
          </w:tcPr>
          <w:p w14:paraId="362386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≤22.5万元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EE05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21.35万元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34735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w:t>
            </w:r>
          </w:p>
        </w:tc>
        <w:tc>
          <w:tcPr>
            <w:tcW w:w="873" w:type="dxa"/>
            <w:tcBorders>
              <w:top w:val="single" w:color="auto" w:sz="4" w:space="0"/>
              <w:left w:val="nil"/>
              <w:bottom w:val="single" w:color="auto" w:sz="4" w:space="0"/>
              <w:right w:val="single" w:color="auto" w:sz="4" w:space="0"/>
            </w:tcBorders>
            <w:noWrap w:val="0"/>
            <w:vAlign w:val="center"/>
          </w:tcPr>
          <w:p w14:paraId="16B5DF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 xml:space="preserve">  20</w:t>
            </w:r>
          </w:p>
        </w:tc>
        <w:tc>
          <w:tcPr>
            <w:tcW w:w="1418" w:type="dxa"/>
            <w:tcBorders>
              <w:top w:val="single" w:color="auto" w:sz="4" w:space="0"/>
              <w:left w:val="nil"/>
              <w:bottom w:val="single" w:color="auto" w:sz="4" w:space="0"/>
              <w:right w:val="single" w:color="auto" w:sz="4" w:space="0"/>
            </w:tcBorders>
            <w:noWrap w:val="0"/>
            <w:vAlign w:val="center"/>
          </w:tcPr>
          <w:p w14:paraId="3119CA1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r>
      <w:tr w14:paraId="148EC560">
        <w:tblPrEx>
          <w:tblCellMar>
            <w:top w:w="0" w:type="dxa"/>
            <w:left w:w="108" w:type="dxa"/>
            <w:bottom w:w="0" w:type="dxa"/>
            <w:right w:w="108" w:type="dxa"/>
          </w:tblCellMar>
        </w:tblPrEx>
        <w:trPr>
          <w:trHeight w:val="437" w:hRule="atLeast"/>
          <w:jc w:val="center"/>
        </w:trPr>
        <w:tc>
          <w:tcPr>
            <w:tcW w:w="6732" w:type="dxa"/>
            <w:gridSpan w:val="6"/>
            <w:tcBorders>
              <w:top w:val="single" w:color="auto" w:sz="4" w:space="0"/>
              <w:left w:val="single" w:color="auto" w:sz="4" w:space="0"/>
              <w:bottom w:val="single" w:color="auto" w:sz="4" w:space="0"/>
              <w:right w:val="single" w:color="000000" w:sz="4" w:space="0"/>
            </w:tcBorders>
            <w:shd w:val="clear" w:color="auto" w:fill="auto"/>
            <w:noWrap w:val="0"/>
            <w:vAlign w:val="center"/>
          </w:tcPr>
          <w:p w14:paraId="609270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总分</w:t>
            </w:r>
          </w:p>
        </w:tc>
        <w:tc>
          <w:tcPr>
            <w:tcW w:w="828" w:type="dxa"/>
            <w:tcBorders>
              <w:top w:val="single" w:color="auto" w:sz="4" w:space="0"/>
              <w:left w:val="nil"/>
              <w:bottom w:val="single" w:color="auto" w:sz="4" w:space="0"/>
              <w:right w:val="single" w:color="auto" w:sz="4" w:space="0"/>
            </w:tcBorders>
            <w:shd w:val="clear" w:color="auto" w:fill="auto"/>
            <w:noWrap w:val="0"/>
            <w:vAlign w:val="center"/>
          </w:tcPr>
          <w:p w14:paraId="6DB78B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100</w:t>
            </w:r>
          </w:p>
        </w:tc>
        <w:tc>
          <w:tcPr>
            <w:tcW w:w="873" w:type="dxa"/>
            <w:tcBorders>
              <w:top w:val="single" w:color="auto" w:sz="4" w:space="0"/>
              <w:left w:val="nil"/>
              <w:bottom w:val="single" w:color="auto" w:sz="4" w:space="0"/>
              <w:right w:val="single" w:color="auto" w:sz="4" w:space="0"/>
            </w:tcBorders>
            <w:shd w:val="clear" w:color="auto" w:fill="auto"/>
            <w:noWrap w:val="0"/>
            <w:vAlign w:val="center"/>
          </w:tcPr>
          <w:p w14:paraId="7119DE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97.49</w:t>
            </w:r>
          </w:p>
        </w:tc>
        <w:tc>
          <w:tcPr>
            <w:tcW w:w="1418" w:type="dxa"/>
            <w:tcBorders>
              <w:top w:val="single" w:color="auto" w:sz="4" w:space="0"/>
              <w:left w:val="nil"/>
              <w:bottom w:val="single" w:color="auto" w:sz="4" w:space="0"/>
              <w:right w:val="single" w:color="auto" w:sz="4" w:space="0"/>
            </w:tcBorders>
            <w:shd w:val="clear" w:color="auto" w:fill="auto"/>
            <w:noWrap w:val="0"/>
            <w:vAlign w:val="center"/>
          </w:tcPr>
          <w:p w14:paraId="7999013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p>
        </w:tc>
      </w:tr>
    </w:tbl>
    <w:p w14:paraId="7A90D175">
      <w:pPr>
        <w:rPr>
          <w:rFonts w:hint="default" w:ascii="Times New Roman" w:hAnsi="Times New Roman" w:eastAsia="仿宋_GB2312" w:cs="Times New Roman"/>
          <w:sz w:val="18"/>
          <w:szCs w:val="18"/>
          <w:highlight w:val="none"/>
        </w:rPr>
      </w:pPr>
    </w:p>
    <w:p w14:paraId="76AE5CB0">
      <w:pPr>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05380AE4">
      <w:pPr>
        <w:jc w:val="center"/>
        <w:rPr>
          <w:rFonts w:hint="default" w:ascii="Times New Roman" w:hAnsi="Times New Roman" w:eastAsia="方正小标宋_GBK" w:cs="Times New Roman"/>
          <w:sz w:val="52"/>
          <w:szCs w:val="52"/>
          <w:highlight w:val="none"/>
        </w:rPr>
      </w:pPr>
    </w:p>
    <w:p w14:paraId="30F6B05D">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年度岳阳市生态环境局南湖新区分局整体支出绩效自评报告</w:t>
      </w:r>
    </w:p>
    <w:p w14:paraId="78C62CA6">
      <w:pPr>
        <w:jc w:val="center"/>
        <w:rPr>
          <w:rFonts w:hint="default" w:ascii="Times New Roman" w:hAnsi="Times New Roman" w:eastAsia="方正小标宋_GBK" w:cs="Times New Roman"/>
          <w:b/>
          <w:sz w:val="52"/>
          <w:szCs w:val="52"/>
          <w:highlight w:val="none"/>
        </w:rPr>
      </w:pPr>
    </w:p>
    <w:p w14:paraId="461D7C21">
      <w:pPr>
        <w:jc w:val="center"/>
        <w:rPr>
          <w:rFonts w:hint="default" w:ascii="Times New Roman" w:hAnsi="Times New Roman" w:eastAsia="楷体_GB2312" w:cs="Times New Roman"/>
          <w:b/>
          <w:sz w:val="32"/>
          <w:szCs w:val="32"/>
          <w:highlight w:val="none"/>
        </w:rPr>
      </w:pPr>
    </w:p>
    <w:p w14:paraId="50116227">
      <w:pPr>
        <w:jc w:val="center"/>
        <w:rPr>
          <w:rFonts w:hint="default" w:ascii="Times New Roman" w:hAnsi="Times New Roman" w:eastAsia="楷体_GB2312" w:cs="Times New Roman"/>
          <w:b/>
          <w:sz w:val="32"/>
          <w:szCs w:val="32"/>
          <w:highlight w:val="none"/>
        </w:rPr>
      </w:pPr>
    </w:p>
    <w:p w14:paraId="14FDC871">
      <w:pPr>
        <w:jc w:val="center"/>
        <w:rPr>
          <w:rFonts w:hint="default" w:ascii="Times New Roman" w:hAnsi="Times New Roman" w:eastAsia="楷体_GB2312" w:cs="Times New Roman"/>
          <w:b/>
          <w:sz w:val="32"/>
          <w:szCs w:val="32"/>
          <w:highlight w:val="none"/>
        </w:rPr>
      </w:pPr>
    </w:p>
    <w:p w14:paraId="0D0DA204">
      <w:pPr>
        <w:jc w:val="center"/>
        <w:rPr>
          <w:rFonts w:hint="default" w:ascii="Times New Roman" w:hAnsi="Times New Roman" w:eastAsia="楷体_GB2312" w:cs="Times New Roman"/>
          <w:b/>
          <w:sz w:val="32"/>
          <w:szCs w:val="32"/>
          <w:highlight w:val="none"/>
        </w:rPr>
      </w:pPr>
    </w:p>
    <w:p w14:paraId="2D6E3EA4">
      <w:pPr>
        <w:jc w:val="center"/>
        <w:rPr>
          <w:rFonts w:hint="default" w:ascii="Times New Roman" w:hAnsi="Times New Roman" w:eastAsia="楷体_GB2312" w:cs="Times New Roman"/>
          <w:b/>
          <w:sz w:val="32"/>
          <w:szCs w:val="32"/>
          <w:highlight w:val="none"/>
        </w:rPr>
      </w:pPr>
    </w:p>
    <w:p w14:paraId="031E96BC">
      <w:pPr>
        <w:jc w:val="center"/>
        <w:rPr>
          <w:rFonts w:hint="default" w:ascii="Times New Roman" w:hAnsi="Times New Roman" w:eastAsia="楷体_GB2312" w:cs="Times New Roman"/>
          <w:b/>
          <w:sz w:val="32"/>
          <w:szCs w:val="32"/>
          <w:highlight w:val="none"/>
        </w:rPr>
      </w:pPr>
    </w:p>
    <w:p w14:paraId="303A8F57">
      <w:pPr>
        <w:jc w:val="center"/>
        <w:rPr>
          <w:rFonts w:hint="default" w:ascii="Times New Roman" w:hAnsi="Times New Roman" w:eastAsia="黑体" w:cs="Times New Roman"/>
          <w:sz w:val="32"/>
          <w:szCs w:val="32"/>
          <w:highlight w:val="none"/>
        </w:rPr>
      </w:pPr>
    </w:p>
    <w:p w14:paraId="2CD66E0F">
      <w:pPr>
        <w:jc w:val="center"/>
        <w:rPr>
          <w:rFonts w:hint="default" w:ascii="Times New Roman" w:hAnsi="Times New Roman" w:eastAsia="黑体" w:cs="Times New Roman"/>
          <w:sz w:val="32"/>
          <w:szCs w:val="32"/>
          <w:highlight w:val="none"/>
        </w:rPr>
      </w:pPr>
    </w:p>
    <w:p w14:paraId="28ACF126">
      <w:pPr>
        <w:jc w:val="center"/>
        <w:rPr>
          <w:rFonts w:hint="default" w:ascii="Times New Roman" w:hAnsi="Times New Roman" w:eastAsia="黑体" w:cs="Times New Roman"/>
          <w:sz w:val="32"/>
          <w:szCs w:val="32"/>
          <w:highlight w:val="none"/>
        </w:rPr>
      </w:pPr>
    </w:p>
    <w:p w14:paraId="1437F60E">
      <w:pPr>
        <w:jc w:val="both"/>
        <w:rPr>
          <w:rFonts w:hint="default" w:ascii="Times New Roman" w:hAnsi="Times New Roman" w:eastAsia="黑体" w:cs="Times New Roman"/>
          <w:sz w:val="32"/>
          <w:szCs w:val="32"/>
          <w:highlight w:val="none"/>
        </w:rPr>
      </w:pPr>
    </w:p>
    <w:p w14:paraId="45DF059A">
      <w:pPr>
        <w:jc w:val="center"/>
        <w:rPr>
          <w:rFonts w:hint="default" w:ascii="Times New Roman" w:hAnsi="Times New Roman" w:eastAsia="黑体" w:cs="Times New Roman"/>
          <w:sz w:val="32"/>
          <w:szCs w:val="32"/>
          <w:highlight w:val="none"/>
        </w:rPr>
      </w:pPr>
    </w:p>
    <w:p w14:paraId="1A4657D0">
      <w:pPr>
        <w:jc w:val="center"/>
        <w:rPr>
          <w:rFonts w:hint="default" w:ascii="Times New Roman" w:hAnsi="Times New Roman" w:eastAsia="黑体" w:cs="Times New Roman"/>
          <w:sz w:val="32"/>
          <w:szCs w:val="32"/>
          <w:highlight w:val="none"/>
        </w:rPr>
      </w:pPr>
    </w:p>
    <w:p w14:paraId="6C41E5AA">
      <w:pPr>
        <w:jc w:val="center"/>
        <w:rPr>
          <w:rFonts w:hint="default" w:ascii="Times New Roman" w:hAnsi="Times New Roman" w:eastAsia="黑体" w:cs="Times New Roman"/>
          <w:sz w:val="32"/>
          <w:szCs w:val="32"/>
          <w:highlight w:val="none"/>
        </w:rPr>
      </w:pPr>
    </w:p>
    <w:p w14:paraId="4FE5CE4F">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6C5C2BBB">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0BB5DB73">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3BF8A47D">
      <w:pPr>
        <w:jc w:val="center"/>
        <w:rPr>
          <w:rFonts w:hint="eastAsia" w:ascii="方正小标宋简体" w:hAnsi="方正小标宋简体" w:eastAsia="方正小标宋简体" w:cs="方正小标宋简体"/>
          <w:sz w:val="44"/>
          <w:szCs w:val="44"/>
          <w:highlight w:val="none"/>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年度岳阳市生态环境局南湖新区分局整体支出绩效自评报告</w:t>
      </w:r>
    </w:p>
    <w:p w14:paraId="090BF758">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778B5362">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7330C413">
      <w:pPr>
        <w:pStyle w:val="2"/>
        <w:keepNext w:val="0"/>
        <w:keepLines w:val="0"/>
        <w:pageBreakBefore w:val="0"/>
        <w:widowControl w:val="0"/>
        <w:numPr>
          <w:ilvl w:val="0"/>
          <w:numId w:val="0"/>
        </w:numPr>
        <w:kinsoku/>
        <w:wordWrap/>
        <w:overflowPunct/>
        <w:topLinePunct w:val="0"/>
        <w:autoSpaceDE/>
        <w:autoSpaceDN/>
        <w:bidi w:val="0"/>
        <w:adjustRightInd/>
        <w:snapToGrid/>
        <w:ind w:firstLine="620" w:firstLineChars="200"/>
        <w:textAlignment w:val="auto"/>
        <w:rPr>
          <w:rFonts w:hint="default"/>
        </w:rPr>
      </w:pPr>
      <w:r>
        <w:rPr>
          <w:rFonts w:hint="default"/>
        </w:rPr>
        <w:t>（一）职能职责</w:t>
      </w:r>
    </w:p>
    <w:p w14:paraId="38A1B1ED">
      <w:pPr>
        <w:pStyle w:val="2"/>
        <w:keepNext w:val="0"/>
        <w:keepLines w:val="0"/>
        <w:pageBreakBefore w:val="0"/>
        <w:widowControl w:val="0"/>
        <w:numPr>
          <w:ilvl w:val="0"/>
          <w:numId w:val="0"/>
        </w:numPr>
        <w:kinsoku/>
        <w:wordWrap/>
        <w:overflowPunct/>
        <w:topLinePunct w:val="0"/>
        <w:autoSpaceDE/>
        <w:autoSpaceDN/>
        <w:bidi w:val="0"/>
        <w:adjustRightInd/>
        <w:snapToGrid/>
        <w:ind w:firstLine="620" w:firstLineChars="200"/>
        <w:textAlignment w:val="auto"/>
        <w:rPr>
          <w:rFonts w:hint="default"/>
        </w:rPr>
      </w:pPr>
      <w:r>
        <w:rPr>
          <w:rFonts w:hint="default"/>
        </w:rPr>
        <w:t>1.受市生态环境局委托，承担辖区内的生态环境相关工作；承担市生态环境局和区管委会交办的其他任务。</w:t>
      </w:r>
    </w:p>
    <w:p w14:paraId="4653EF51">
      <w:pPr>
        <w:pStyle w:val="2"/>
        <w:keepNext w:val="0"/>
        <w:keepLines w:val="0"/>
        <w:pageBreakBefore w:val="0"/>
        <w:widowControl w:val="0"/>
        <w:numPr>
          <w:ilvl w:val="0"/>
          <w:numId w:val="0"/>
        </w:numPr>
        <w:kinsoku/>
        <w:wordWrap/>
        <w:overflowPunct/>
        <w:topLinePunct w:val="0"/>
        <w:autoSpaceDE/>
        <w:autoSpaceDN/>
        <w:bidi w:val="0"/>
        <w:adjustRightInd/>
        <w:snapToGrid/>
        <w:ind w:firstLine="620" w:firstLineChars="200"/>
        <w:textAlignment w:val="auto"/>
        <w:rPr>
          <w:rFonts w:hint="default"/>
        </w:rPr>
      </w:pPr>
      <w:r>
        <w:rPr>
          <w:rFonts w:hint="default"/>
        </w:rPr>
        <w:t>2.负责本辖区内重点污染源在线监控系统现场监督管理；负责受理和办理生态环境保护举报（信访），负责生态环境信访维稳事件的现场调查处置工作，负责本辖区生态环境质量监测、执法监测、污染源监测和应急监测；负责辖区内生态文明示范区创建。</w:t>
      </w:r>
    </w:p>
    <w:p w14:paraId="2778D5B4">
      <w:pPr>
        <w:pStyle w:val="2"/>
        <w:keepNext w:val="0"/>
        <w:keepLines w:val="0"/>
        <w:pageBreakBefore w:val="0"/>
        <w:widowControl w:val="0"/>
        <w:numPr>
          <w:ilvl w:val="0"/>
          <w:numId w:val="0"/>
        </w:numPr>
        <w:kinsoku/>
        <w:wordWrap/>
        <w:overflowPunct/>
        <w:topLinePunct w:val="0"/>
        <w:autoSpaceDE/>
        <w:autoSpaceDN/>
        <w:bidi w:val="0"/>
        <w:adjustRightInd/>
        <w:snapToGrid/>
        <w:ind w:firstLine="620" w:firstLineChars="200"/>
        <w:textAlignment w:val="auto"/>
        <w:rPr>
          <w:rFonts w:hint="default"/>
        </w:rPr>
      </w:pPr>
      <w:r>
        <w:rPr>
          <w:rFonts w:hint="default"/>
        </w:rPr>
        <w:t>（二）机构设置</w:t>
      </w:r>
    </w:p>
    <w:p w14:paraId="6B0AB443">
      <w:pPr>
        <w:pStyle w:val="2"/>
        <w:keepNext w:val="0"/>
        <w:keepLines w:val="0"/>
        <w:pageBreakBefore w:val="0"/>
        <w:widowControl w:val="0"/>
        <w:numPr>
          <w:ilvl w:val="0"/>
          <w:numId w:val="0"/>
        </w:numPr>
        <w:kinsoku/>
        <w:wordWrap/>
        <w:overflowPunct/>
        <w:topLinePunct w:val="0"/>
        <w:autoSpaceDE/>
        <w:autoSpaceDN/>
        <w:bidi w:val="0"/>
        <w:adjustRightInd/>
        <w:snapToGrid/>
        <w:ind w:firstLine="620" w:firstLineChars="200"/>
        <w:textAlignment w:val="auto"/>
        <w:rPr>
          <w:rFonts w:hint="default"/>
        </w:rPr>
      </w:pPr>
      <w:r>
        <w:rPr>
          <w:rFonts w:hint="default"/>
        </w:rPr>
        <w:t>南湖新区生态环境分局属岳阳市生态环境局二级机构。根据分局的整体情况，下设三个股室（办公室、监察大队、管理股）。分局目前共有工作人员</w:t>
      </w:r>
      <w:r>
        <w:rPr>
          <w:rFonts w:hint="eastAsia"/>
          <w:lang w:val="en-US" w:eastAsia="zh-CN"/>
        </w:rPr>
        <w:t>10</w:t>
      </w:r>
      <w:r>
        <w:rPr>
          <w:rFonts w:hint="default"/>
        </w:rPr>
        <w:t>人，其中在编人员</w:t>
      </w:r>
      <w:r>
        <w:rPr>
          <w:rFonts w:hint="eastAsia"/>
          <w:lang w:val="en-US" w:eastAsia="zh-CN"/>
        </w:rPr>
        <w:t>10</w:t>
      </w:r>
      <w:r>
        <w:rPr>
          <w:rFonts w:hint="default"/>
        </w:rPr>
        <w:t>人，退休2人，本科及以上学历为90%以上。</w:t>
      </w:r>
    </w:p>
    <w:p w14:paraId="126EA7CB">
      <w:pPr>
        <w:pStyle w:val="9"/>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082CACC1">
      <w:pPr>
        <w:pStyle w:val="9"/>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375BD60B">
      <w:pPr>
        <w:keepNext w:val="0"/>
        <w:keepLines w:val="0"/>
        <w:pageBreakBefore w:val="0"/>
        <w:widowControl/>
        <w:kinsoku/>
        <w:wordWrap w:val="0"/>
        <w:overflowPunct/>
        <w:topLinePunct w:val="0"/>
        <w:autoSpaceDE/>
        <w:autoSpaceDN/>
        <w:bidi w:val="0"/>
        <w:adjustRightInd/>
        <w:snapToGrid w:val="0"/>
        <w:spacing w:before="150" w:after="150" w:line="580" w:lineRule="exact"/>
        <w:ind w:firstLine="640" w:firstLineChars="200"/>
        <w:jc w:val="left"/>
        <w:textAlignment w:val="auto"/>
        <w:rPr>
          <w:rFonts w:hint="eastAsia" w:ascii="仿宋_GB2312" w:hAnsi="仿宋_GB2312" w:eastAsia="仿宋_GB2312" w:cs="仿宋_GB2312"/>
          <w:spacing w:val="-20"/>
          <w:kern w:val="0"/>
          <w:sz w:val="32"/>
          <w:szCs w:val="32"/>
          <w:lang w:val="en-US" w:eastAsia="zh-CN" w:bidi="ar-SA"/>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我分局基本支出主要用于人员经费和环境宣传、固定资产采购、“三公”经费等公用支出。</w:t>
      </w:r>
      <w:r>
        <w:rPr>
          <w:rFonts w:ascii="仿宋_GB2312" w:hAnsi="仿宋_GB2312" w:eastAsia="仿宋_GB2312" w:cs="仿宋_GB2312"/>
          <w:kern w:val="0"/>
          <w:sz w:val="32"/>
          <w:szCs w:val="32"/>
          <w:lang w:val="en-US" w:eastAsia="zh-CN" w:bidi="ar-SA"/>
        </w:rPr>
        <w:t>2</w:t>
      </w:r>
      <w:r>
        <w:rPr>
          <w:rFonts w:hint="eastAsia" w:ascii="仿宋_GB2312" w:hAnsi="仿宋_GB2312" w:eastAsia="仿宋_GB2312" w:cs="仿宋_GB2312"/>
          <w:kern w:val="0"/>
          <w:sz w:val="32"/>
          <w:szCs w:val="32"/>
          <w:lang w:val="en-US" w:eastAsia="zh-CN" w:bidi="ar-SA"/>
        </w:rPr>
        <w:t>025年度基本支出</w:t>
      </w:r>
      <w:r>
        <w:rPr>
          <w:rFonts w:hint="eastAsia" w:ascii="仿宋_GB2312" w:hAnsi="仿宋_GB2312" w:eastAsia="仿宋_GB2312" w:cs="仿宋_GB2312"/>
          <w:color w:val="auto"/>
          <w:kern w:val="0"/>
          <w:sz w:val="32"/>
          <w:szCs w:val="32"/>
          <w:lang w:val="en-US" w:eastAsia="zh-CN" w:bidi="ar-SA"/>
        </w:rPr>
        <w:t>226.3</w:t>
      </w:r>
      <w:r>
        <w:rPr>
          <w:rFonts w:hint="eastAsia" w:ascii="仿宋_GB2312" w:hAnsi="仿宋_GB2312" w:eastAsia="仿宋_GB2312" w:cs="仿宋_GB2312"/>
          <w:kern w:val="0"/>
          <w:sz w:val="32"/>
          <w:szCs w:val="32"/>
          <w:lang w:val="en-US" w:eastAsia="zh-CN" w:bidi="ar-SA"/>
        </w:rPr>
        <w:t>万元，其中：人员经费支出</w:t>
      </w:r>
      <w:r>
        <w:rPr>
          <w:rFonts w:hint="eastAsia" w:ascii="仿宋_GB2312" w:hAnsi="仿宋_GB2312" w:eastAsia="仿宋_GB2312" w:cs="仿宋_GB2312"/>
          <w:spacing w:val="-20"/>
          <w:kern w:val="0"/>
          <w:sz w:val="32"/>
          <w:szCs w:val="32"/>
          <w:lang w:val="en-US" w:eastAsia="zh-CN" w:bidi="ar-SA"/>
        </w:rPr>
        <w:t>161.21万元</w:t>
      </w:r>
      <w:r>
        <w:rPr>
          <w:rFonts w:hint="eastAsia" w:ascii="仿宋_GB2312" w:hAnsi="仿宋_GB2312" w:eastAsia="仿宋_GB2312" w:cs="仿宋_GB2312"/>
          <w:spacing w:val="0"/>
          <w:kern w:val="0"/>
          <w:sz w:val="32"/>
          <w:szCs w:val="32"/>
          <w:lang w:val="en-US" w:eastAsia="zh-CN" w:bidi="ar-SA"/>
        </w:rPr>
        <w:t>；公用经费支出65.09万元</w:t>
      </w:r>
      <w:r>
        <w:rPr>
          <w:rFonts w:hint="eastAsia" w:ascii="仿宋_GB2312" w:hAnsi="仿宋_GB2312" w:eastAsia="仿宋_GB2312" w:cs="仿宋_GB2312"/>
          <w:spacing w:val="-20"/>
          <w:kern w:val="0"/>
          <w:sz w:val="32"/>
          <w:szCs w:val="32"/>
          <w:lang w:val="en-US" w:eastAsia="zh-CN" w:bidi="ar-SA"/>
        </w:rPr>
        <w:t>。</w:t>
      </w:r>
    </w:p>
    <w:p w14:paraId="299DDF55">
      <w:pPr>
        <w:keepNext w:val="0"/>
        <w:keepLines w:val="0"/>
        <w:pageBreakBefore w:val="0"/>
        <w:widowControl/>
        <w:kinsoku/>
        <w:wordWrap w:val="0"/>
        <w:overflowPunct/>
        <w:topLinePunct w:val="0"/>
        <w:autoSpaceDE/>
        <w:autoSpaceDN/>
        <w:bidi w:val="0"/>
        <w:adjustRightInd/>
        <w:snapToGrid w:val="0"/>
        <w:spacing w:before="150" w:after="150" w:line="560" w:lineRule="exact"/>
        <w:ind w:firstLine="560" w:firstLineChars="200"/>
        <w:jc w:val="left"/>
        <w:textAlignment w:val="auto"/>
        <w:rPr>
          <w:rFonts w:hint="eastAsia" w:ascii="Times New Roman" w:hAnsi="Times New Roman" w:eastAsia="楷体_GB2312" w:cs="Times New Roman"/>
          <w:b/>
          <w:sz w:val="32"/>
          <w:szCs w:val="32"/>
          <w:highlight w:val="none"/>
          <w:lang w:eastAsia="zh-CN"/>
        </w:rPr>
      </w:pPr>
      <w:r>
        <w:rPr>
          <w:rFonts w:hint="eastAsia" w:ascii="仿宋_GB2312" w:hAnsi="仿宋_GB2312" w:eastAsia="仿宋_GB2312" w:cs="仿宋_GB2312"/>
          <w:spacing w:val="-20"/>
          <w:kern w:val="0"/>
          <w:sz w:val="32"/>
          <w:szCs w:val="32"/>
          <w:lang w:val="en-US" w:eastAsia="zh-CN" w:bidi="ar-SA"/>
        </w:rPr>
        <w:t>2.</w:t>
      </w:r>
      <w:r>
        <w:rPr>
          <w:rFonts w:hint="eastAsia" w:ascii="仿宋_GB2312" w:hAnsi="仿宋_GB2312" w:eastAsia="仿宋_GB2312" w:cs="仿宋_GB2312"/>
          <w:kern w:val="0"/>
          <w:sz w:val="32"/>
          <w:szCs w:val="32"/>
          <w:lang w:val="en-US" w:eastAsia="zh-CN" w:bidi="ar-SA"/>
        </w:rPr>
        <w:t>“三公”经费公务用车运行维护费2.38万元，较上年度2.38万元持平。公务接待费0.00万元，</w:t>
      </w:r>
      <w:r>
        <w:rPr>
          <w:rFonts w:hint="eastAsia" w:ascii="仿宋_GB2312" w:hAnsi="仿宋_GB2312" w:eastAsia="仿宋_GB2312" w:cs="仿宋_GB2312"/>
          <w:b w:val="0"/>
          <w:bCs/>
          <w:kern w:val="0"/>
          <w:sz w:val="32"/>
          <w:szCs w:val="32"/>
          <w:lang w:val="en-US" w:eastAsia="zh-CN" w:bidi="ar-SA"/>
        </w:rPr>
        <w:t>公务用车购置费0.00万元；因公出国费0.00万元。</w:t>
      </w:r>
    </w:p>
    <w:p w14:paraId="2FE5B8D4">
      <w:pPr>
        <w:pStyle w:val="9"/>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（二）项目支出情况</w:t>
      </w:r>
    </w:p>
    <w:p w14:paraId="7CB73760">
      <w:pPr>
        <w:pStyle w:val="9"/>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rPr>
        <w:t>我分局</w:t>
      </w:r>
      <w:r>
        <w:rPr>
          <w:rFonts w:hint="eastAsia" w:ascii="仿宋_GB2312" w:hAnsi="仿宋_GB2312" w:eastAsia="仿宋_GB2312" w:cs="仿宋_GB2312"/>
          <w:b w:val="0"/>
          <w:bCs/>
          <w:sz w:val="32"/>
          <w:szCs w:val="32"/>
          <w:lang w:eastAsia="zh-CN"/>
        </w:rPr>
        <w:t>项目总体</w:t>
      </w:r>
      <w:r>
        <w:rPr>
          <w:rFonts w:hint="eastAsia" w:ascii="仿宋_GB2312" w:hAnsi="仿宋_GB2312" w:eastAsia="仿宋_GB2312" w:cs="仿宋_GB2312"/>
          <w:b w:val="0"/>
          <w:bCs/>
          <w:sz w:val="32"/>
          <w:szCs w:val="32"/>
        </w:rPr>
        <w:t>支出</w:t>
      </w:r>
      <w:r>
        <w:rPr>
          <w:rFonts w:hint="eastAsia" w:ascii="仿宋_GB2312" w:hAnsi="仿宋_GB2312" w:eastAsia="仿宋_GB2312" w:cs="仿宋_GB2312"/>
          <w:b w:val="0"/>
          <w:bCs/>
          <w:sz w:val="32"/>
          <w:szCs w:val="32"/>
          <w:lang w:val="en-US" w:eastAsia="zh-CN"/>
        </w:rPr>
        <w:t>36.75万元，其中：秸秆禁烧管控专项资金支出4万元；环境监察、监测等运行经费21.35万元；其他收入资金11.4万元。</w:t>
      </w:r>
    </w:p>
    <w:p w14:paraId="6F4DEC80">
      <w:pPr>
        <w:pStyle w:val="9"/>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48EE013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kern w:val="0"/>
          <w:sz w:val="32"/>
          <w:szCs w:val="32"/>
          <w:lang w:val="en-US" w:eastAsia="zh-CN" w:bidi="ar-SA"/>
        </w:rPr>
        <w:t>2025年本单位没有使用政府性基金预算安排的支出。</w:t>
      </w:r>
    </w:p>
    <w:p w14:paraId="3915CA11">
      <w:pPr>
        <w:pStyle w:val="9"/>
        <w:keepNext w:val="0"/>
        <w:keepLines w:val="0"/>
        <w:pageBreakBefore w:val="0"/>
        <w:widowControl/>
        <w:numPr>
          <w:ilvl w:val="0"/>
          <w:numId w:val="2"/>
        </w:numPr>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国有资本经营预算支出情</w:t>
      </w:r>
      <w:r>
        <w:rPr>
          <w:rFonts w:hint="eastAsia" w:ascii="Times New Roman" w:hAnsi="Times New Roman" w:eastAsia="黑体" w:cs="Times New Roman"/>
          <w:sz w:val="32"/>
          <w:szCs w:val="32"/>
          <w:highlight w:val="none"/>
          <w:lang w:eastAsia="zh-CN"/>
        </w:rPr>
        <w:t>况</w:t>
      </w:r>
    </w:p>
    <w:p w14:paraId="343E120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仿宋_GB2312" w:hAnsi="仿宋_GB2312" w:eastAsia="仿宋_GB2312" w:cs="仿宋_GB2312"/>
          <w:kern w:val="0"/>
          <w:sz w:val="32"/>
          <w:szCs w:val="32"/>
          <w:lang w:val="en-US" w:eastAsia="zh-CN" w:bidi="ar-SA"/>
        </w:rPr>
        <w:t>2025年本单位没有使用国有资本经营预算安排的支出。</w:t>
      </w:r>
    </w:p>
    <w:p w14:paraId="42C8E0AC">
      <w:pPr>
        <w:pStyle w:val="9"/>
        <w:keepNext w:val="0"/>
        <w:keepLines w:val="0"/>
        <w:pageBreakBefore w:val="0"/>
        <w:widowControl/>
        <w:numPr>
          <w:ilvl w:val="0"/>
          <w:numId w:val="2"/>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社会保险基金预算支出情况</w:t>
      </w:r>
    </w:p>
    <w:p w14:paraId="2ACBDC21">
      <w:pPr>
        <w:pStyle w:val="9"/>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jc w:val="both"/>
        <w:textAlignment w:val="auto"/>
        <w:rPr>
          <w:rFonts w:hint="default" w:ascii="Times New Roman" w:hAnsi="Times New Roman" w:eastAsia="黑体" w:cs="Times New Roman"/>
          <w:sz w:val="32"/>
          <w:szCs w:val="32"/>
          <w:highlight w:val="none"/>
        </w:rPr>
      </w:pPr>
      <w:r>
        <w:rPr>
          <w:rFonts w:hint="eastAsia" w:ascii="仿宋_GB2312" w:hAnsi="仿宋_GB2312" w:eastAsia="仿宋_GB2312" w:cs="仿宋_GB2312"/>
          <w:kern w:val="0"/>
          <w:sz w:val="32"/>
          <w:szCs w:val="32"/>
          <w:lang w:val="en-US" w:eastAsia="zh-CN" w:bidi="ar-SA"/>
        </w:rPr>
        <w:t>2025年本单位没有使用社会保险基金预算安排的支出。</w:t>
      </w:r>
    </w:p>
    <w:p w14:paraId="78193071">
      <w:pPr>
        <w:keepNext w:val="0"/>
        <w:keepLines w:val="0"/>
        <w:pageBreakBefore w:val="0"/>
        <w:widowControl/>
        <w:numPr>
          <w:ilvl w:val="0"/>
          <w:numId w:val="2"/>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部门整体支出绩效情况</w:t>
      </w:r>
    </w:p>
    <w:p w14:paraId="2DEEB6A0">
      <w:pPr>
        <w:keepNext w:val="0"/>
        <w:keepLines w:val="0"/>
        <w:pageBreakBefore w:val="0"/>
        <w:widowControl/>
        <w:kinsoku/>
        <w:wordWrap w:val="0"/>
        <w:overflowPunct/>
        <w:topLinePunct w:val="0"/>
        <w:autoSpaceDE/>
        <w:autoSpaceDN/>
        <w:bidi w:val="0"/>
        <w:adjustRightInd/>
        <w:spacing w:before="150" w:after="150" w:line="560" w:lineRule="exact"/>
        <w:ind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ascii="仿宋_GB2312" w:hAnsi="仿宋_GB2312" w:eastAsia="仿宋_GB2312" w:cs="仿宋_GB2312"/>
          <w:kern w:val="0"/>
          <w:sz w:val="32"/>
          <w:szCs w:val="32"/>
          <w:lang w:val="en-US" w:eastAsia="zh-CN" w:bidi="ar-SA"/>
        </w:rPr>
        <w:t>20</w:t>
      </w:r>
      <w:r>
        <w:rPr>
          <w:rFonts w:hint="eastAsia" w:ascii="仿宋_GB2312" w:hAnsi="仿宋_GB2312" w:eastAsia="仿宋_GB2312" w:cs="仿宋_GB2312"/>
          <w:kern w:val="0"/>
          <w:sz w:val="32"/>
          <w:szCs w:val="32"/>
          <w:lang w:val="en-US" w:eastAsia="zh-CN" w:bidi="ar-SA"/>
        </w:rPr>
        <w:t>25年，我分局积极履职，强化管理，较好地完成了年度工作目标。</w:t>
      </w:r>
    </w:p>
    <w:p w14:paraId="59B039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643"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（一）环境质量状况</w:t>
      </w:r>
    </w:p>
    <w:p w14:paraId="5ACC8624">
      <w:pPr>
        <w:pStyle w:val="2"/>
        <w:keepNext w:val="0"/>
        <w:keepLines w:val="0"/>
        <w:pageBreakBefore w:val="0"/>
        <w:kinsoku/>
        <w:wordWrap/>
        <w:overflowPunct/>
        <w:topLinePunct w:val="0"/>
        <w:autoSpaceDE/>
        <w:autoSpaceDN/>
        <w:bidi w:val="0"/>
        <w:adjustRightInd/>
        <w:snapToGrid/>
        <w:spacing w:after="32" w:afterLines="10" w:line="60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kern w:val="0"/>
          <w:sz w:val="32"/>
          <w:szCs w:val="32"/>
          <w:lang w:val="en-US" w:eastAsia="zh-CN" w:bidi="ar-SA"/>
        </w:rPr>
        <w:t>今年以来，我区环境质量稳中向好，</w:t>
      </w:r>
      <w:r>
        <w:rPr>
          <w:rFonts w:hint="eastAsia" w:ascii="仿宋_GB2312" w:hAnsi="仿宋_GB2312" w:eastAsia="仿宋_GB2312" w:cs="仿宋_GB2312"/>
          <w:b w:val="0"/>
          <w:bCs w:val="0"/>
          <w:sz w:val="32"/>
          <w:szCs w:val="32"/>
          <w:lang w:val="en-US" w:eastAsia="zh-CN"/>
        </w:rPr>
        <w:t>全年</w:t>
      </w:r>
      <w:r>
        <w:rPr>
          <w:rFonts w:hint="eastAsia" w:ascii="仿宋_GB2312" w:hAnsi="仿宋_GB2312" w:eastAsia="仿宋_GB2312" w:cs="仿宋_GB2312"/>
          <w:kern w:val="0"/>
          <w:sz w:val="32"/>
          <w:szCs w:val="32"/>
          <w:lang w:val="en-US" w:eastAsia="zh-CN" w:bidi="ar-SA"/>
        </w:rPr>
        <w:t>南湖水质总体</w:t>
      </w:r>
      <w:bookmarkStart w:id="0" w:name="_GoBack"/>
      <w:bookmarkEnd w:id="0"/>
      <w:r>
        <w:rPr>
          <w:rFonts w:hint="eastAsia" w:ascii="仿宋_GB2312" w:hAnsi="仿宋_GB2312" w:eastAsia="仿宋_GB2312" w:cs="仿宋_GB2312"/>
          <w:kern w:val="0"/>
          <w:sz w:val="32"/>
          <w:szCs w:val="32"/>
          <w:lang w:val="en-US" w:eastAsia="zh-CN" w:bidi="ar-SA"/>
        </w:rPr>
        <w:t>达到Ⅲ类，南湖水质连续五年总体达标Ⅲ类。</w:t>
      </w:r>
      <w:r>
        <w:rPr>
          <w:rFonts w:hint="eastAsia" w:ascii="仿宋_GB2312" w:hAnsi="仿宋_GB2312" w:eastAsia="仿宋_GB2312" w:cs="仿宋_GB2312"/>
          <w:b w:val="0"/>
          <w:bCs w:val="0"/>
          <w:sz w:val="32"/>
          <w:szCs w:val="32"/>
          <w:lang w:val="en-US" w:eastAsia="zh-CN"/>
        </w:rPr>
        <w:t>综合指数3.3，同比优化5.7%；空气质量优良率91.5%，同比优化5.2%；PM2.5浓度31.9微克/立方米，同比下降6.7%，其他各项大气污染物浓度指标均有较大幅度下调。</w:t>
      </w:r>
    </w:p>
    <w:p w14:paraId="23454B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（二）生态环境执法工作情况</w:t>
      </w:r>
    </w:p>
    <w:p w14:paraId="5DA6971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一是开展日常环境执法监管。</w:t>
      </w:r>
      <w:r>
        <w:rPr>
          <w:rFonts w:hint="eastAsia" w:ascii="仿宋_GB2312" w:hAnsi="仿宋_GB2312" w:eastAsia="仿宋_GB2312" w:cs="仿宋_GB2312"/>
          <w:sz w:val="32"/>
          <w:szCs w:val="32"/>
        </w:rPr>
        <w:t>按照污染源“双随机一公开”监管工作方案，以排污许可证发放情况为基础，对我区污染源开展双随机环境监管和排污许可清单式执法工作。建立企业生态环境监督执法正面清单，减少执法工作的随意性，做到无事不扰，减少对企业正常经营的打扰，优化营商环境。</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rPr>
        <w:t>队加强环境执法监管，严厉打击环境违法行为，开展日常环境执法监管。加强环境执法监管，监督企业落实主体责任，以“双随机、一公开”监管为主，结合专项行动，充分利用在线监测、用电监控等非现场监管手段，加大日常监管与巡查力度，严厉打击环境违法行为，对辖区内污染防治、生态保护、核与辐射安全等方面的生态环境保护综合行政检查38家次，立案查处5起环境违法行为，罚款23万元，没收违法所得390元，免予处罚1起。</w:t>
      </w:r>
    </w:p>
    <w:p w14:paraId="13CEEB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64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val="en-US" w:eastAsia="zh-CN" w:bidi="ar-SA"/>
        </w:rPr>
        <w:t>二是配合开展环保督察工作。</w:t>
      </w:r>
      <w:r>
        <w:rPr>
          <w:rFonts w:hint="eastAsia" w:ascii="仿宋_GB2312" w:hAnsi="仿宋_GB2312" w:eastAsia="仿宋_GB2312" w:cs="仿宋_GB2312"/>
          <w:sz w:val="32"/>
          <w:szCs w:val="32"/>
        </w:rPr>
        <w:t>督促相关责任单位完成突出生态环境问题整改销号13项</w:t>
      </w:r>
      <w:r>
        <w:rPr>
          <w:rFonts w:hint="eastAsia" w:ascii="仿宋_GB2312" w:hAnsi="仿宋_GB2312" w:eastAsia="仿宋_GB2312" w:cs="仿宋_GB2312"/>
          <w:sz w:val="32"/>
          <w:szCs w:val="32"/>
          <w:lang w:eastAsia="zh-CN"/>
        </w:rPr>
        <w:t>。</w:t>
      </w:r>
    </w:p>
    <w:p w14:paraId="2ADCC2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三是</w:t>
      </w:r>
      <w:r>
        <w:rPr>
          <w:rFonts w:hint="eastAsia" w:ascii="仿宋_GB2312" w:hAnsi="仿宋_GB2312" w:eastAsia="仿宋_GB2312" w:cs="仿宋_GB2312"/>
          <w:sz w:val="32"/>
          <w:szCs w:val="32"/>
          <w:lang w:val="en-US" w:eastAsia="zh-CN"/>
        </w:rPr>
        <w:t>协助企业办理辐射安全许可证1家次。开展辐射安全检查5家次，发现和督促相关单位整改问题3条。</w:t>
      </w:r>
    </w:p>
    <w:p w14:paraId="37CD8496">
      <w:pPr>
        <w:keepNext w:val="0"/>
        <w:keepLines w:val="0"/>
        <w:pageBreakBefore w:val="0"/>
        <w:kinsoku/>
        <w:wordWrap/>
        <w:overflowPunct/>
        <w:topLinePunct w:val="0"/>
        <w:autoSpaceDE/>
        <w:autoSpaceDN/>
        <w:bidi w:val="0"/>
        <w:adjustRightInd/>
        <w:snapToGrid/>
        <w:spacing w:after="32" w:afterLines="1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bidi="ar-SA"/>
        </w:rPr>
        <w:t>四是</w:t>
      </w:r>
      <w:r>
        <w:rPr>
          <w:rFonts w:hint="eastAsia" w:ascii="仿宋_GB2312" w:hAnsi="仿宋_GB2312" w:eastAsia="仿宋_GB2312" w:cs="仿宋_GB2312"/>
          <w:sz w:val="32"/>
          <w:szCs w:val="32"/>
          <w:lang w:val="en-US" w:eastAsia="zh-CN"/>
        </w:rPr>
        <w:t>办结各类生态环境相关投诉12件次，对投诉问题做到了件件有处理、宗宗有回复，对每起投诉，高度重视，积极应对。</w:t>
      </w:r>
    </w:p>
    <w:p w14:paraId="082B70C1">
      <w:pPr>
        <w:keepNext w:val="0"/>
        <w:keepLines w:val="0"/>
        <w:pageBreakBefore w:val="0"/>
        <w:kinsoku/>
        <w:wordWrap/>
        <w:overflowPunct/>
        <w:topLinePunct w:val="0"/>
        <w:autoSpaceDE/>
        <w:autoSpaceDN/>
        <w:bidi w:val="0"/>
        <w:adjustRightInd/>
        <w:snapToGrid/>
        <w:spacing w:after="32" w:afterLines="1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五是</w:t>
      </w:r>
      <w:r>
        <w:rPr>
          <w:rFonts w:hint="eastAsia" w:ascii="仿宋_GB2312" w:hAnsi="仿宋_GB2312" w:eastAsia="仿宋_GB2312" w:cs="仿宋_GB2312"/>
          <w:sz w:val="32"/>
          <w:szCs w:val="32"/>
          <w:lang w:val="en-US" w:eastAsia="zh-CN"/>
        </w:rPr>
        <w:t>开展突发环境事件应急演练。督促企业落实主体责任，修订突发环境事件应急预案、完善应急措施和物资准备，组织参与湖滨污水处理厂开展了突发环境事件应急演练。</w:t>
      </w:r>
    </w:p>
    <w:p w14:paraId="726F80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（三）污染防治攻坚战及夏季攻势工作情况</w:t>
      </w:r>
    </w:p>
    <w:p w14:paraId="1FA3AE72">
      <w:pPr>
        <w:keepNext w:val="0"/>
        <w:keepLines w:val="0"/>
        <w:pageBreakBefore w:val="0"/>
        <w:widowControl w:val="0"/>
        <w:numPr>
          <w:ilvl w:val="0"/>
          <w:numId w:val="0"/>
        </w:numPr>
        <w:kinsoku/>
        <w:wordWrap/>
        <w:overflowPunct/>
        <w:topLinePunct w:val="0"/>
        <w:autoSpaceDE/>
        <w:autoSpaceDN/>
        <w:bidi w:val="0"/>
        <w:adjustRightInd/>
        <w:snapToGrid/>
        <w:spacing w:after="32" w:afterLines="10" w:line="600" w:lineRule="exact"/>
        <w:ind w:right="0" w:rightChars="0" w:firstLine="643" w:firstLineChars="20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积极开展水污染防治工作。</w:t>
      </w:r>
    </w:p>
    <w:p w14:paraId="6CC32448">
      <w:pPr>
        <w:keepNext w:val="0"/>
        <w:keepLines w:val="0"/>
        <w:pageBreakBefore w:val="0"/>
        <w:widowControl w:val="0"/>
        <w:numPr>
          <w:ilvl w:val="0"/>
          <w:numId w:val="0"/>
        </w:numPr>
        <w:kinsoku/>
        <w:wordWrap/>
        <w:overflowPunct/>
        <w:topLinePunct w:val="0"/>
        <w:autoSpaceDE/>
        <w:autoSpaceDN/>
        <w:bidi w:val="0"/>
        <w:adjustRightInd/>
        <w:snapToGrid/>
        <w:spacing w:after="32" w:afterLines="10" w:line="600" w:lineRule="exact"/>
        <w:ind w:right="0" w:rightChars="0" w:firstLine="640" w:firstLineChars="200"/>
        <w:textAlignment w:val="auto"/>
        <w:outlineLvl w:val="9"/>
        <w:rPr>
          <w:rFonts w:hint="eastAsia" w:ascii="仿宋_GB2312" w:hAnsi="仿宋" w:eastAsia="仿宋_GB2312"/>
          <w:kern w:val="0"/>
          <w:sz w:val="32"/>
          <w:szCs w:val="32"/>
          <w:lang w:val="en-US" w:eastAsia="zh-CN"/>
        </w:rPr>
      </w:pPr>
      <w:r>
        <w:rPr>
          <w:rFonts w:hint="eastAsia" w:ascii="仿宋_GB2312" w:hAnsi="仿宋" w:eastAsia="仿宋_GB2312" w:cs="Times New Roman"/>
          <w:kern w:val="0"/>
          <w:sz w:val="32"/>
          <w:szCs w:val="32"/>
          <w:lang w:val="en-US" w:eastAsia="zh-CN"/>
        </w:rPr>
        <w:t>持续开展南湖水环境综合整治工作，坚持湖面巡查密切关注南湖水质变化情况，督促区生态渔业公司加强湖面保洁打捞确保湖面洁净并进一步强化治理措施。今年以来共计投放用于水质治理的各类药剂：尖酵嘉碳制剂163吨、复合微生物菌剂251吨、净水剂8吨、杀藻剂1吨，除油剂1吨，复合菌分解酶1吨，地衣浓缩液3吨，枯草芽孢杆菌3吨，地衣芽孢杆菌3吨，有效扼制住了高温期蓝藻暴发风险持续改善了水环境质量。</w:t>
      </w:r>
      <w:r>
        <w:rPr>
          <w:rFonts w:hint="eastAsia" w:ascii="仿宋_GB2312" w:hAnsi="仿宋_GB2312" w:eastAsia="仿宋_GB2312" w:cs="仿宋_GB2312"/>
          <w:b w:val="0"/>
          <w:bCs w:val="0"/>
          <w:color w:val="auto"/>
          <w:sz w:val="32"/>
          <w:szCs w:val="32"/>
          <w:lang w:val="en-US" w:eastAsia="zh-CN"/>
        </w:rPr>
        <w:t>经过一系列努力，南湖水质总体达到地表水Ⅲ类标准，</w:t>
      </w:r>
      <w:r>
        <w:rPr>
          <w:rFonts w:hint="eastAsia" w:ascii="仿宋_GB2312" w:hAnsi="仿宋" w:eastAsia="仿宋_GB2312"/>
          <w:color w:val="auto"/>
          <w:kern w:val="0"/>
          <w:sz w:val="32"/>
          <w:szCs w:val="32"/>
          <w:lang w:val="en-US" w:eastAsia="zh-CN"/>
        </w:rPr>
        <w:t>强制污水处理厂深度处理。</w:t>
      </w:r>
      <w:r>
        <w:rPr>
          <w:rFonts w:hint="eastAsia" w:ascii="仿宋_GB2312" w:hAnsi="仿宋" w:eastAsia="仿宋_GB2312"/>
          <w:kern w:val="0"/>
          <w:sz w:val="32"/>
          <w:szCs w:val="32"/>
          <w:lang w:val="en-US" w:eastAsia="zh-CN"/>
        </w:rPr>
        <w:t>督促</w:t>
      </w:r>
      <w:r>
        <w:rPr>
          <w:rFonts w:hint="eastAsia" w:ascii="仿宋_GB2312" w:hAnsi="仿宋" w:eastAsia="仿宋_GB2312"/>
          <w:kern w:val="0"/>
          <w:sz w:val="32"/>
          <w:szCs w:val="32"/>
          <w:lang w:eastAsia="zh-CN"/>
        </w:rPr>
        <w:t>黄梅港污水处理厂、湖滨污水处理厂在稳定达标的基础上采取应急降磷措施，通过加大药剂使用量等降低尾水中总磷浓度，确保污水处理厂尾水排放总磷浓度不得高于0.</w:t>
      </w:r>
      <w:r>
        <w:rPr>
          <w:rFonts w:hint="eastAsia" w:ascii="仿宋_GB2312" w:hAnsi="仿宋" w:eastAsia="仿宋_GB2312"/>
          <w:kern w:val="0"/>
          <w:sz w:val="32"/>
          <w:szCs w:val="32"/>
          <w:lang w:val="en-US" w:eastAsia="zh-CN"/>
        </w:rPr>
        <w:t>1</w:t>
      </w:r>
      <w:r>
        <w:rPr>
          <w:rFonts w:hint="eastAsia" w:ascii="仿宋_GB2312" w:hAnsi="仿宋" w:eastAsia="仿宋_GB2312"/>
          <w:kern w:val="0"/>
          <w:sz w:val="32"/>
          <w:szCs w:val="32"/>
          <w:lang w:eastAsia="zh-CN"/>
        </w:rPr>
        <w:t>mg/L。</w:t>
      </w:r>
    </w:p>
    <w:p w14:paraId="23B39FC7">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32" w:afterLines="10" w:afterAutospacing="0" w:line="600" w:lineRule="exact"/>
        <w:ind w:right="0" w:righ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2.开展大气污染防治攻坚</w:t>
      </w:r>
    </w:p>
    <w:p w14:paraId="65C9C1D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32" w:afterLines="10" w:afterAutospacing="0" w:line="600" w:lineRule="exact"/>
        <w:ind w:right="0" w:rightChars="0" w:firstLine="640"/>
        <w:jc w:val="both"/>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b/>
          <w:bCs/>
          <w:kern w:val="2"/>
          <w:sz w:val="32"/>
          <w:szCs w:val="32"/>
          <w:lang w:val="en-US" w:eastAsia="zh-CN" w:bidi="ar-SA"/>
        </w:rPr>
        <w:t>一是承担区蓝天办日常工作</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eastAsia="zh-CN" w:bidi="ar-SA"/>
        </w:rPr>
        <w:t>负责</w:t>
      </w:r>
      <w:r>
        <w:rPr>
          <w:rFonts w:hint="eastAsia" w:ascii="仿宋_GB2312" w:hAnsi="仿宋_GB2312" w:eastAsia="仿宋_GB2312" w:cs="仿宋_GB2312"/>
          <w:sz w:val="32"/>
          <w:szCs w:val="32"/>
          <w:lang w:bidi="ar-SA"/>
        </w:rPr>
        <w:t>对全</w:t>
      </w:r>
      <w:r>
        <w:rPr>
          <w:rFonts w:hint="eastAsia" w:ascii="仿宋_GB2312" w:hAnsi="仿宋_GB2312" w:eastAsia="仿宋_GB2312" w:cs="仿宋_GB2312"/>
          <w:sz w:val="32"/>
          <w:szCs w:val="32"/>
          <w:lang w:eastAsia="zh-CN" w:bidi="ar-SA"/>
        </w:rPr>
        <w:t>区</w:t>
      </w:r>
      <w:r>
        <w:rPr>
          <w:rFonts w:hint="eastAsia" w:ascii="仿宋_GB2312" w:hAnsi="仿宋_GB2312" w:eastAsia="仿宋_GB2312" w:cs="仿宋_GB2312"/>
          <w:sz w:val="32"/>
          <w:szCs w:val="32"/>
          <w:lang w:bidi="ar-SA"/>
        </w:rPr>
        <w:t>大气污染防治工作统筹</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协调</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对</w:t>
      </w:r>
      <w:r>
        <w:rPr>
          <w:rFonts w:hint="eastAsia" w:ascii="仿宋_GB2312" w:hAnsi="仿宋_GB2312" w:eastAsia="仿宋_GB2312" w:cs="仿宋_GB2312"/>
          <w:sz w:val="32"/>
          <w:szCs w:val="32"/>
          <w:lang w:eastAsia="zh-CN" w:bidi="ar-SA"/>
        </w:rPr>
        <w:t>各街道办事处、管理处</w:t>
      </w:r>
      <w:r>
        <w:rPr>
          <w:rFonts w:hint="eastAsia" w:ascii="仿宋_GB2312" w:hAnsi="仿宋_GB2312" w:eastAsia="仿宋_GB2312" w:cs="仿宋_GB2312"/>
          <w:sz w:val="32"/>
          <w:szCs w:val="32"/>
          <w:lang w:bidi="ar-SA"/>
        </w:rPr>
        <w:t>及相关责任单位的大气污染防治工作进行督查</w:t>
      </w:r>
      <w:r>
        <w:rPr>
          <w:rFonts w:hint="eastAsia" w:ascii="仿宋_GB2312" w:hAnsi="仿宋_GB2312" w:eastAsia="仿宋_GB2312" w:cs="仿宋_GB2312"/>
          <w:sz w:val="32"/>
          <w:szCs w:val="32"/>
          <w:lang w:eastAsia="zh-CN" w:bidi="ar-SA"/>
        </w:rPr>
        <w:t>。</w:t>
      </w:r>
    </w:p>
    <w:p w14:paraId="0029452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32" w:afterLines="10" w:afterAutospacing="0" w:line="600" w:lineRule="exact"/>
        <w:ind w:right="0" w:rightChars="0" w:firstLine="640"/>
        <w:jc w:val="both"/>
        <w:textAlignment w:val="auto"/>
        <w:outlineLvl w:val="9"/>
        <w:rPr>
          <w:rFonts w:hint="eastAsia" w:ascii="仿宋_GB2312" w:hAnsi="仿宋_GB2312" w:eastAsia="仿宋_GB2312" w:cs="仿宋_GB2312"/>
          <w:sz w:val="32"/>
          <w:szCs w:val="32"/>
          <w:lang w:eastAsia="zh-CN" w:bidi="ar-SA"/>
        </w:rPr>
      </w:pPr>
      <w:r>
        <w:rPr>
          <w:rFonts w:hint="eastAsia" w:ascii="仿宋_GB2312" w:hAnsi="仿宋_GB2312" w:eastAsia="仿宋_GB2312" w:cs="仿宋_GB2312"/>
          <w:b/>
          <w:bCs/>
          <w:kern w:val="2"/>
          <w:sz w:val="32"/>
          <w:szCs w:val="32"/>
          <w:lang w:val="en-US" w:eastAsia="zh-CN" w:bidi="ar-SA"/>
        </w:rPr>
        <w:t>二是开展空气质量数据分析</w:t>
      </w:r>
      <w:r>
        <w:rPr>
          <w:rFonts w:hint="eastAsia" w:ascii="仿宋_GB2312" w:hAnsi="仿宋_GB2312" w:eastAsia="仿宋_GB2312" w:cs="仿宋_GB2312"/>
          <w:sz w:val="32"/>
          <w:szCs w:val="32"/>
          <w:lang w:eastAsia="zh-CN" w:bidi="ar-SA"/>
        </w:rPr>
        <w:t>。每隔两个小时查看空气自动监测站点数据，及时关注数据变化情况。针对数据变化情况，指导开展全区大气污染防治工作。</w:t>
      </w:r>
    </w:p>
    <w:p w14:paraId="3C2D5289">
      <w:pPr>
        <w:keepNext w:val="0"/>
        <w:keepLines w:val="0"/>
        <w:pageBreakBefore w:val="0"/>
        <w:widowControl w:val="0"/>
        <w:kinsoku/>
        <w:wordWrap/>
        <w:overflowPunct/>
        <w:topLinePunct w:val="0"/>
        <w:autoSpaceDE/>
        <w:autoSpaceDN/>
        <w:bidi w:val="0"/>
        <w:adjustRightInd/>
        <w:snapToGrid/>
        <w:spacing w:after="32" w:afterLines="10" w:line="600" w:lineRule="exact"/>
        <w:ind w:left="0" w:leftChars="0" w:right="0" w:rightChars="0" w:firstLine="640"/>
        <w:textAlignment w:val="auto"/>
        <w:outlineLvl w:val="9"/>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2"/>
          <w:sz w:val="32"/>
          <w:szCs w:val="32"/>
          <w:lang w:val="en-US" w:eastAsia="zh-CN" w:bidi="ar-SA"/>
        </w:rPr>
        <w:t>三是开展柴油货车路检路查专项行动。</w:t>
      </w:r>
      <w:r>
        <w:rPr>
          <w:rFonts w:hint="eastAsia" w:ascii="仿宋_GB2312" w:hAnsi="仿宋_GB2312" w:eastAsia="仿宋_GB2312" w:cs="仿宋_GB2312"/>
          <w:kern w:val="0"/>
          <w:sz w:val="32"/>
          <w:szCs w:val="32"/>
          <w:lang w:val="en-US" w:eastAsia="zh-CN" w:bidi="ar-SA"/>
        </w:rPr>
        <w:t>联合交警大队开展柴油车路检路查行动6次，检测柴油货车151辆。重型柴油货车OBD远程在线监控终端安装及联网19台，非道路移动机械电子标签安装及联网建设15台。开展非移动道路机械抽测2轮次，抽测非移动道路机械10台。</w:t>
      </w:r>
    </w:p>
    <w:p w14:paraId="6CD4CD2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643"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2"/>
          <w:sz w:val="32"/>
          <w:szCs w:val="32"/>
          <w:lang w:val="en-US" w:eastAsia="zh-CN" w:bidi="ar-SA"/>
        </w:rPr>
        <w:t>四是开展秸秆禁烧工作。</w:t>
      </w:r>
      <w:r>
        <w:rPr>
          <w:rFonts w:hint="eastAsia" w:ascii="仿宋_GB2312" w:hAnsi="仿宋_GB2312" w:eastAsia="仿宋_GB2312" w:cs="仿宋_GB2312"/>
          <w:kern w:val="0"/>
          <w:sz w:val="32"/>
          <w:szCs w:val="32"/>
          <w:lang w:val="en-US" w:eastAsia="zh-CN" w:bidi="ar-SA"/>
        </w:rPr>
        <w:t>配合市局完成秸秆禁限烧区划定工作，制定《岳阳市南湖新区秸秆禁限烧区划定方案》；联合各街道办事处、管理处开展秸秆禁烧巡查管控工作，印发秸秆禁烧宣传资料20000份。　　</w:t>
      </w:r>
    </w:p>
    <w:p w14:paraId="01FADED9">
      <w:pPr>
        <w:keepNext w:val="0"/>
        <w:keepLines w:val="0"/>
        <w:pageBreakBefore w:val="0"/>
        <w:widowControl w:val="0"/>
        <w:numPr>
          <w:ilvl w:val="0"/>
          <w:numId w:val="0"/>
        </w:numPr>
        <w:kinsoku/>
        <w:wordWrap/>
        <w:overflowPunct/>
        <w:topLinePunct w:val="0"/>
        <w:autoSpaceDE/>
        <w:autoSpaceDN/>
        <w:bidi w:val="0"/>
        <w:adjustRightInd/>
        <w:snapToGrid/>
        <w:spacing w:after="32" w:afterLines="10" w:line="600" w:lineRule="exact"/>
        <w:ind w:left="640" w:leftChars="0" w:right="0" w:rightChars="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3.开展土壤污染防治工作</w:t>
      </w:r>
    </w:p>
    <w:p w14:paraId="462FAA28">
      <w:pPr>
        <w:keepNext w:val="0"/>
        <w:keepLines w:val="0"/>
        <w:pageBreakBefore w:val="0"/>
        <w:kinsoku/>
        <w:wordWrap/>
        <w:overflowPunct/>
        <w:topLinePunct w:val="0"/>
        <w:autoSpaceDE/>
        <w:autoSpaceDN/>
        <w:bidi w:val="0"/>
        <w:adjustRightInd/>
        <w:snapToGrid/>
        <w:spacing w:after="32" w:afterLines="1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完成1个优先监管地块（岳阳市赛洁日化责任有限公司地块）销号任务。</w:t>
      </w:r>
    </w:p>
    <w:p w14:paraId="75400248">
      <w:pPr>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hint="default"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（四）项目审批和排污许可工作情况</w:t>
      </w:r>
    </w:p>
    <w:p w14:paraId="7264AF24">
      <w:pPr>
        <w:keepNext w:val="0"/>
        <w:keepLines w:val="0"/>
        <w:pageBreakBefore w:val="0"/>
        <w:widowControl w:val="0"/>
        <w:kinsoku/>
        <w:wordWrap/>
        <w:overflowPunct/>
        <w:topLinePunct w:val="0"/>
        <w:autoSpaceDE/>
        <w:autoSpaceDN/>
        <w:bidi w:val="0"/>
        <w:adjustRightInd/>
        <w:snapToGrid/>
        <w:spacing w:after="32" w:afterLines="1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坚持把建设项目环境管理作为控制新污染源的重要手段，严把建设项目审批准入门槛。审批建设项目3件，并做好了项目事前、事中、事后信息公示工作。</w:t>
      </w:r>
    </w:p>
    <w:p w14:paraId="26891263">
      <w:pPr>
        <w:keepNext w:val="0"/>
        <w:keepLines w:val="0"/>
        <w:pageBreakBefore w:val="0"/>
        <w:widowControl w:val="0"/>
        <w:kinsoku/>
        <w:wordWrap/>
        <w:overflowPunct/>
        <w:topLinePunct w:val="0"/>
        <w:autoSpaceDE/>
        <w:autoSpaceDN/>
        <w:bidi w:val="0"/>
        <w:adjustRightInd/>
        <w:snapToGrid/>
        <w:spacing w:after="32" w:afterLines="1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督促我区排污许可证简化管理单位落实排污许可相关规定，按要求提交2025年度执行报告，完成率为100%。督促简化管理单位开展自行监测工作，完成率为100%。根据市生态环境局下发企业排污单位自行监测现场评估细则和监测报告问题清单，督促三峡水环境综合治理有限责任公司湖滨水质净化厂、中国石油天然气股份有限公司湖南销售分公司岳阳市中江加油站、湖南惠泽康能源有限公司子兴加油站完成问题整改。</w:t>
      </w:r>
    </w:p>
    <w:p w14:paraId="7DD03219">
      <w:pPr>
        <w:pStyle w:val="2"/>
        <w:keepNext w:val="0"/>
        <w:keepLines w:val="0"/>
        <w:pageBreakBefore w:val="0"/>
        <w:kinsoku/>
        <w:wordWrap/>
        <w:overflowPunct/>
        <w:topLinePunct w:val="0"/>
        <w:autoSpaceDE/>
        <w:autoSpaceDN/>
        <w:bidi w:val="0"/>
        <w:adjustRightInd/>
        <w:snapToGrid/>
        <w:spacing w:after="32" w:afterLines="10" w:line="600"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_GB2312" w:eastAsia="仿宋_GB2312" w:cs="仿宋_GB2312"/>
          <w:sz w:val="32"/>
          <w:szCs w:val="32"/>
          <w:lang w:val="en-US" w:eastAsia="zh-CN"/>
        </w:rPr>
        <w:t>配合</w:t>
      </w:r>
      <w:r>
        <w:rPr>
          <w:rFonts w:hint="eastAsia" w:ascii="仿宋_GB2312" w:hAnsi="仿宋" w:eastAsia="仿宋_GB2312" w:cs="仿宋"/>
          <w:sz w:val="32"/>
          <w:szCs w:val="32"/>
          <w:lang w:val="en-US" w:eastAsia="zh-CN"/>
        </w:rPr>
        <w:t>省生态环境厅检查组开展建设项目环评要求落实情况检查和排污许可质量核查，配合市局开展岳阳龙山植物园一期（龙山生态动植物科普基地）建设项目</w:t>
      </w:r>
      <w:r>
        <w:rPr>
          <w:rFonts w:hint="eastAsia" w:ascii="仿宋_GB2312" w:hAnsi="仿宋" w:eastAsia="仿宋_GB2312" w:cs="仿宋"/>
          <w:sz w:val="32"/>
          <w:szCs w:val="32"/>
          <w:lang w:eastAsia="zh-CN"/>
        </w:rPr>
        <w:t>、南湖宾馆提质改造项目、岳阳市樊陈路一期东延段工程</w:t>
      </w:r>
      <w:r>
        <w:rPr>
          <w:rFonts w:hint="eastAsia" w:ascii="仿宋_GB2312" w:hAnsi="仿宋" w:eastAsia="仿宋_GB2312" w:cs="仿宋"/>
          <w:sz w:val="32"/>
          <w:szCs w:val="32"/>
          <w:lang w:val="en-US" w:eastAsia="zh-CN"/>
        </w:rPr>
        <w:t>进行环评问题审查。</w:t>
      </w:r>
    </w:p>
    <w:p w14:paraId="56F517F0">
      <w:pPr>
        <w:pStyle w:val="2"/>
        <w:keepNext w:val="0"/>
        <w:keepLines w:val="0"/>
        <w:pageBreakBefore w:val="0"/>
        <w:kinsoku/>
        <w:wordWrap/>
        <w:overflowPunct/>
        <w:topLinePunct w:val="0"/>
        <w:autoSpaceDE/>
        <w:autoSpaceDN/>
        <w:bidi w:val="0"/>
        <w:adjustRightInd/>
        <w:snapToGrid/>
        <w:spacing w:after="32" w:afterLines="10" w:line="60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（五）做好固危废管理工作</w:t>
      </w:r>
    </w:p>
    <w:p w14:paraId="26B686C5">
      <w:pPr>
        <w:pStyle w:val="2"/>
        <w:keepNext w:val="0"/>
        <w:keepLines w:val="0"/>
        <w:pageBreakBefore w:val="0"/>
        <w:kinsoku/>
        <w:wordWrap/>
        <w:overflowPunct/>
        <w:topLinePunct w:val="0"/>
        <w:autoSpaceDE/>
        <w:autoSpaceDN/>
        <w:bidi w:val="0"/>
        <w:adjustRightInd/>
        <w:snapToGrid/>
        <w:spacing w:after="32" w:afterLines="1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开展固危废检查工作，对发现的问题要求企业及时整改。督促辖区内28家产废单位按要求提交管理计划并完成年度产废申报。开展新化学物质调查摸底工作。</w:t>
      </w:r>
    </w:p>
    <w:p w14:paraId="4A1AB9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kern w:val="0"/>
          <w:sz w:val="32"/>
          <w:szCs w:val="32"/>
          <w:lang w:val="en-US" w:eastAsia="zh-CN" w:bidi="ar-SA"/>
        </w:rPr>
        <w:t>　　</w:t>
      </w:r>
      <w:r>
        <w:rPr>
          <w:rFonts w:hint="eastAsia" w:ascii="仿宋_GB2312" w:hAnsi="仿宋_GB2312" w:eastAsia="仿宋_GB2312" w:cs="仿宋_GB2312"/>
          <w:b/>
          <w:bCs/>
          <w:kern w:val="0"/>
          <w:sz w:val="32"/>
          <w:szCs w:val="32"/>
          <w:lang w:val="en-US" w:eastAsia="zh-CN" w:bidi="ar-SA"/>
        </w:rPr>
        <w:t>（六）党建纪检工作情况</w:t>
      </w:r>
    </w:p>
    <w:p w14:paraId="1F6E5A14">
      <w:pPr>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扎实推进南湖分局党支部五化建设，不断提升基层党组织战斗力；二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精心组织，高规格开好年度组织生活会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会议达到思想基础实、对照检查真、互相批评诚、努力方向明的预期效果；</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认真落实纪检组“三重一大”有关规定，按要求填报“三重一大”备案表；</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开展普法学习，对《中华人民共和国长江保护法》、 《优化营商环境条例》、排污许可管理办法等进行学习。</w:t>
      </w:r>
    </w:p>
    <w:p w14:paraId="5CA7EA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（七）机关管理工作情况</w:t>
      </w:r>
    </w:p>
    <w:p w14:paraId="6C84FE8F">
      <w:pPr>
        <w:keepNext w:val="0"/>
        <w:keepLines w:val="0"/>
        <w:pageBreakBefore w:val="0"/>
        <w:widowControl/>
        <w:kinsoku/>
        <w:wordWrap/>
        <w:overflowPunct/>
        <w:topLinePunct w:val="0"/>
        <w:autoSpaceDE/>
        <w:autoSpaceDN/>
        <w:bidi w:val="0"/>
        <w:adjustRightInd/>
        <w:snapToGrid/>
        <w:spacing w:after="32" w:afterLines="10" w:line="600" w:lineRule="exact"/>
        <w:ind w:firstLine="640" w:firstLineChars="200"/>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kern w:val="0"/>
          <w:sz w:val="32"/>
          <w:szCs w:val="32"/>
          <w:lang w:val="en-US" w:eastAsia="zh-CN" w:bidi="ar-SA"/>
        </w:rPr>
        <w:t>　</w:t>
      </w:r>
      <w:r>
        <w:rPr>
          <w:rFonts w:hint="eastAsia" w:ascii="仿宋_GB2312" w:hAnsi="仿宋_GB2312" w:eastAsia="仿宋_GB2312" w:cs="仿宋_GB2312"/>
          <w:b/>
          <w:bCs/>
          <w:color w:val="000000"/>
          <w:kern w:val="0"/>
          <w:sz w:val="32"/>
          <w:szCs w:val="32"/>
          <w:lang w:bidi="ar"/>
        </w:rPr>
        <w:t>一是完成了年度市级文明单位创建</w:t>
      </w:r>
      <w:r>
        <w:rPr>
          <w:rFonts w:hint="eastAsia" w:ascii="仿宋_GB2312" w:hAnsi="仿宋_GB2312" w:eastAsia="仿宋_GB2312" w:cs="仿宋_GB2312"/>
          <w:b/>
          <w:bCs/>
          <w:color w:val="000000"/>
          <w:kern w:val="0"/>
          <w:sz w:val="32"/>
          <w:szCs w:val="32"/>
          <w:lang w:eastAsia="zh-CN" w:bidi="ar"/>
        </w:rPr>
        <w:t>。</w:t>
      </w:r>
      <w:r>
        <w:rPr>
          <w:rFonts w:hint="eastAsia" w:ascii="仿宋_GB2312" w:hAnsi="仿宋_GB2312" w:eastAsia="仿宋_GB2312" w:cs="仿宋_GB2312"/>
          <w:b/>
          <w:bCs/>
          <w:color w:val="000000"/>
          <w:kern w:val="0"/>
          <w:sz w:val="32"/>
          <w:szCs w:val="32"/>
          <w:lang w:val="en-US" w:eastAsia="zh-CN" w:bidi="ar"/>
        </w:rPr>
        <w:t>二是</w:t>
      </w:r>
      <w:r>
        <w:rPr>
          <w:rFonts w:hint="eastAsia" w:ascii="仿宋_GB2312" w:hAnsi="仿宋_GB2312" w:eastAsia="仿宋_GB2312" w:cs="仿宋_GB2312"/>
          <w:color w:val="000000"/>
          <w:kern w:val="0"/>
          <w:sz w:val="32"/>
          <w:szCs w:val="32"/>
          <w:lang w:bidi="ar"/>
        </w:rPr>
        <w:t>认真实施《岳阳市生态环境局南湖新区分局公务员平时考核工作实施方案》，进一步推动平考工作，不断提升分局整体工作效能；</w:t>
      </w:r>
      <w:r>
        <w:rPr>
          <w:rFonts w:hint="eastAsia" w:ascii="仿宋_GB2312" w:hAnsi="仿宋_GB2312" w:eastAsia="仿宋_GB2312" w:cs="仿宋_GB2312"/>
          <w:b/>
          <w:bCs/>
          <w:color w:val="000000"/>
          <w:kern w:val="0"/>
          <w:sz w:val="32"/>
          <w:szCs w:val="32"/>
          <w:lang w:val="en-US" w:eastAsia="zh-CN" w:bidi="ar"/>
        </w:rPr>
        <w:t>三</w:t>
      </w:r>
      <w:r>
        <w:rPr>
          <w:rFonts w:hint="eastAsia" w:ascii="仿宋_GB2312" w:hAnsi="仿宋_GB2312" w:eastAsia="仿宋_GB2312" w:cs="仿宋_GB2312"/>
          <w:b/>
          <w:bCs/>
          <w:color w:val="000000"/>
          <w:kern w:val="0"/>
          <w:sz w:val="32"/>
          <w:szCs w:val="32"/>
          <w:lang w:bidi="ar"/>
        </w:rPr>
        <w:t>是</w:t>
      </w:r>
      <w:r>
        <w:rPr>
          <w:rFonts w:hint="eastAsia" w:ascii="仿宋_GB2312" w:hAnsi="仿宋_GB2312" w:eastAsia="仿宋_GB2312" w:cs="仿宋_GB2312"/>
          <w:color w:val="000000"/>
          <w:kern w:val="0"/>
          <w:sz w:val="32"/>
          <w:szCs w:val="32"/>
          <w:lang w:bidi="ar"/>
        </w:rPr>
        <w:t>结合资产、资本、资源清查工作，推动分局节能、节资工作；</w:t>
      </w:r>
      <w:r>
        <w:rPr>
          <w:rFonts w:hint="eastAsia" w:ascii="仿宋_GB2312" w:hAnsi="仿宋_GB2312" w:eastAsia="仿宋_GB2312" w:cs="仿宋_GB2312"/>
          <w:b/>
          <w:bCs/>
          <w:color w:val="000000"/>
          <w:kern w:val="0"/>
          <w:sz w:val="32"/>
          <w:szCs w:val="32"/>
          <w:lang w:val="en-US" w:eastAsia="zh-CN" w:bidi="ar"/>
        </w:rPr>
        <w:t>四</w:t>
      </w:r>
      <w:r>
        <w:rPr>
          <w:rFonts w:hint="eastAsia" w:ascii="仿宋_GB2312" w:hAnsi="仿宋_GB2312" w:eastAsia="仿宋_GB2312" w:cs="仿宋_GB2312"/>
          <w:b/>
          <w:bCs/>
          <w:color w:val="000000"/>
          <w:kern w:val="0"/>
          <w:sz w:val="32"/>
          <w:szCs w:val="32"/>
          <w:lang w:bidi="ar"/>
        </w:rPr>
        <w:t>是</w:t>
      </w:r>
      <w:r>
        <w:rPr>
          <w:rFonts w:hint="eastAsia" w:ascii="仿宋_GB2312" w:hAnsi="仿宋_GB2312" w:eastAsia="仿宋_GB2312" w:cs="仿宋_GB2312"/>
          <w:color w:val="000000"/>
          <w:kern w:val="0"/>
          <w:sz w:val="32"/>
          <w:szCs w:val="32"/>
          <w:lang w:bidi="ar"/>
        </w:rPr>
        <w:t>严把“三公经费”关，确保节约、依规使用经费的要求得以落实；</w:t>
      </w:r>
      <w:r>
        <w:rPr>
          <w:rFonts w:hint="eastAsia" w:ascii="仿宋_GB2312" w:hAnsi="仿宋_GB2312" w:eastAsia="仿宋_GB2312" w:cs="仿宋_GB2312"/>
          <w:b/>
          <w:bCs/>
          <w:color w:val="000000"/>
          <w:kern w:val="0"/>
          <w:sz w:val="32"/>
          <w:szCs w:val="32"/>
          <w:lang w:val="en-US" w:eastAsia="zh-CN" w:bidi="ar"/>
        </w:rPr>
        <w:t>五</w:t>
      </w:r>
      <w:r>
        <w:rPr>
          <w:rFonts w:hint="eastAsia" w:ascii="仿宋_GB2312" w:hAnsi="仿宋_GB2312" w:eastAsia="仿宋_GB2312" w:cs="仿宋_GB2312"/>
          <w:b/>
          <w:bCs/>
          <w:color w:val="000000"/>
          <w:kern w:val="0"/>
          <w:sz w:val="32"/>
          <w:szCs w:val="32"/>
          <w:lang w:bidi="ar"/>
        </w:rPr>
        <w:t>是</w:t>
      </w:r>
      <w:r>
        <w:rPr>
          <w:rFonts w:hint="eastAsia" w:ascii="仿宋_GB2312" w:hAnsi="仿宋_GB2312" w:eastAsia="仿宋_GB2312" w:cs="仿宋_GB2312"/>
          <w:color w:val="000000"/>
          <w:kern w:val="0"/>
          <w:sz w:val="32"/>
          <w:szCs w:val="32"/>
          <w:lang w:bidi="ar"/>
        </w:rPr>
        <w:t>加强对外宣传，利用六.五世界环境日、安全生产日制作宣传展板4块，印发宣传资料2000份，不断营造生态环境保护工作的浓厚氛围。</w:t>
      </w:r>
      <w:r>
        <w:rPr>
          <w:rFonts w:hint="eastAsia" w:ascii="仿宋_GB2312" w:hAnsi="仿宋_GB2312" w:eastAsia="仿宋_GB2312" w:cs="仿宋_GB2312"/>
          <w:color w:val="000000"/>
          <w:kern w:val="0"/>
          <w:sz w:val="32"/>
          <w:szCs w:val="32"/>
          <w:lang w:val="en-US" w:eastAsia="zh-CN" w:bidi="ar"/>
        </w:rPr>
        <w:t>联合㴩湖社区、南湖新区财政局机关等党支部开展“学雷锋•护碧水文明实践我行动”主题党建活动。联合南湖新区文明办于开展"万物共生和美永续"2025年国际生物多样性日主题宣传活动、"美丽中国我先行"2025年六五环境日主题宣传活动等系列宣传活动。</w:t>
      </w:r>
    </w:p>
    <w:p w14:paraId="2CEB5F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kern w:val="0"/>
          <w:sz w:val="32"/>
          <w:szCs w:val="32"/>
          <w:lang w:val="en-US" w:eastAsia="zh-CN" w:bidi="ar-SA"/>
        </w:rPr>
        <w:t>　</w:t>
      </w:r>
      <w:r>
        <w:rPr>
          <w:rFonts w:hint="eastAsia" w:ascii="仿宋_GB2312" w:hAnsi="仿宋_GB2312" w:eastAsia="仿宋_GB2312" w:cs="仿宋_GB2312"/>
          <w:b/>
          <w:bCs/>
          <w:kern w:val="0"/>
          <w:sz w:val="32"/>
          <w:szCs w:val="32"/>
          <w:lang w:val="en-US" w:eastAsia="zh-CN" w:bidi="ar-SA"/>
        </w:rPr>
        <w:t>　（八）“两山”创新实践基地创建情况</w:t>
      </w:r>
    </w:p>
    <w:p w14:paraId="554686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当前南湖新区“两山”创新实践基地创建项目已入省厅储备库。</w:t>
      </w:r>
    </w:p>
    <w:p w14:paraId="6711D453">
      <w:pPr>
        <w:pStyle w:val="9"/>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3A4834B3">
      <w:pPr>
        <w:keepNext w:val="0"/>
        <w:keepLines w:val="0"/>
        <w:pageBreakBefore w:val="0"/>
        <w:widowControl w:val="0"/>
        <w:numPr>
          <w:ilvl w:val="0"/>
          <w:numId w:val="0"/>
        </w:numPr>
        <w:kinsoku/>
        <w:wordWrap/>
        <w:overflowPunct/>
        <w:topLinePunct w:val="0"/>
        <w:autoSpaceDE/>
        <w:autoSpaceDN/>
        <w:bidi w:val="0"/>
        <w:adjustRightInd/>
        <w:snapToGrid/>
        <w:spacing w:after="32" w:afterLines="10"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1.污水收集仍有缺口。</w:t>
      </w:r>
      <w:r>
        <w:rPr>
          <w:rFonts w:hint="eastAsia" w:ascii="仿宋_GB2312" w:hAnsi="仿宋_GB2312" w:eastAsia="仿宋_GB2312" w:cs="仿宋_GB2312"/>
          <w:sz w:val="32"/>
          <w:szCs w:val="32"/>
          <w:lang w:val="en-US" w:eastAsia="zh-CN"/>
        </w:rPr>
        <w:t>管网建设不完善，雨污分流不彻底，导致生活污水收集缺口大，污水处理厂进水浓度不稳定。</w:t>
      </w:r>
    </w:p>
    <w:p w14:paraId="64FCD08E">
      <w:pPr>
        <w:keepNext w:val="0"/>
        <w:keepLines w:val="0"/>
        <w:pageBreakBefore w:val="0"/>
        <w:widowControl w:val="0"/>
        <w:numPr>
          <w:ilvl w:val="0"/>
          <w:numId w:val="0"/>
        </w:numPr>
        <w:kinsoku/>
        <w:wordWrap/>
        <w:overflowPunct/>
        <w:topLinePunct w:val="0"/>
        <w:autoSpaceDE/>
        <w:autoSpaceDN/>
        <w:bidi w:val="0"/>
        <w:adjustRightInd/>
        <w:snapToGrid/>
        <w:spacing w:after="32" w:afterLines="10" w:line="600" w:lineRule="exact"/>
        <w:ind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val="en-US" w:eastAsia="zh-CN"/>
        </w:rPr>
        <w:t>2.黄梅港治理成效较差。</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水体流动性差，在下游段形成死水，造成水体富营养化逐渐严重，水质变差；</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流域范围内管网建设不完善、雨污管网混接改造进度缓慢；</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周边存在农业面源污染。</w:t>
      </w:r>
    </w:p>
    <w:p w14:paraId="15BF98C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kern w:val="0"/>
          <w:sz w:val="32"/>
          <w:szCs w:val="32"/>
          <w:lang w:val="en-US" w:eastAsia="zh-CN" w:bidi="ar-SA"/>
        </w:rPr>
        <w:t>八、</w:t>
      </w:r>
      <w:r>
        <w:rPr>
          <w:rFonts w:hint="eastAsia" w:ascii="黑体" w:hAnsi="黑体" w:eastAsia="黑体" w:cs="黑体"/>
          <w:b/>
          <w:bCs/>
          <w:sz w:val="32"/>
          <w:szCs w:val="32"/>
        </w:rPr>
        <w:t>下一步工作打算</w:t>
      </w:r>
    </w:p>
    <w:p w14:paraId="1E7CD499">
      <w:pPr>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hint="eastAsia" w:ascii="仿宋_GB2312" w:hAnsi="仿宋_GB2312" w:eastAsia="仿宋_GB2312" w:cs="仿宋_GB2312"/>
          <w:b/>
          <w:bCs/>
          <w:sz w:val="32"/>
          <w:szCs w:val="32"/>
        </w:rPr>
      </w:pPr>
      <w:r>
        <w:rPr>
          <w:rFonts w:hint="eastAsia" w:ascii="楷体" w:hAnsi="楷体" w:eastAsia="楷体" w:cs="楷体"/>
          <w:b/>
          <w:bCs/>
          <w:sz w:val="32"/>
          <w:szCs w:val="32"/>
        </w:rPr>
        <w:t>（一）持续推进特护期污染防治攻坚战和夏季攻势工作</w:t>
      </w:r>
    </w:p>
    <w:p w14:paraId="328717AB">
      <w:pPr>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一是加大大气污染防治工作力度。</w:t>
      </w:r>
      <w:r>
        <w:rPr>
          <w:rFonts w:hint="eastAsia" w:ascii="仿宋_GB2312" w:hAnsi="仿宋_GB2312" w:eastAsia="仿宋_GB2312" w:cs="仿宋_GB2312"/>
          <w:sz w:val="32"/>
          <w:szCs w:val="32"/>
          <w:shd w:val="clear" w:color="auto" w:fill="FFFFFF"/>
        </w:rPr>
        <w:t>加强巡查、督查，协调、督导各责任单位落实大气污染防治工作职责，空气质量较</w:t>
      </w:r>
      <w:r>
        <w:rPr>
          <w:rFonts w:hint="eastAsia" w:ascii="仿宋_GB2312" w:hAnsi="仿宋_GB2312" w:eastAsia="仿宋_GB2312" w:cs="仿宋_GB2312"/>
          <w:sz w:val="32"/>
          <w:szCs w:val="32"/>
          <w:shd w:val="clear" w:color="auto" w:fill="FFFFFF"/>
          <w:lang w:val="en-US" w:eastAsia="zh-CN"/>
        </w:rPr>
        <w:t>今</w:t>
      </w:r>
      <w:r>
        <w:rPr>
          <w:rFonts w:hint="eastAsia" w:ascii="仿宋_GB2312" w:hAnsi="仿宋_GB2312" w:eastAsia="仿宋_GB2312" w:cs="仿宋_GB2312"/>
          <w:sz w:val="32"/>
          <w:szCs w:val="32"/>
          <w:shd w:val="clear" w:color="auto" w:fill="FFFFFF"/>
        </w:rPr>
        <w:t>年有明显改善，空气质量优良率、PM</w:t>
      </w:r>
      <w:r>
        <w:rPr>
          <w:rFonts w:hint="eastAsia" w:ascii="仿宋_GB2312" w:hAnsi="仿宋_GB2312" w:eastAsia="仿宋_GB2312" w:cs="仿宋_GB2312"/>
          <w:sz w:val="32"/>
          <w:szCs w:val="32"/>
          <w:shd w:val="clear" w:color="auto" w:fill="FFFFFF"/>
          <w:vertAlign w:val="subscript"/>
        </w:rPr>
        <w:t>2.5</w:t>
      </w:r>
      <w:r>
        <w:rPr>
          <w:rFonts w:hint="eastAsia" w:ascii="仿宋_GB2312" w:hAnsi="仿宋_GB2312" w:eastAsia="仿宋_GB2312" w:cs="仿宋_GB2312"/>
          <w:sz w:val="32"/>
          <w:szCs w:val="32"/>
          <w:shd w:val="clear" w:color="auto" w:fill="FFFFFF"/>
        </w:rPr>
        <w:t>浓度达到考核要求，力争空气质量达到国家二级标准。</w:t>
      </w:r>
    </w:p>
    <w:p w14:paraId="551BF2D3">
      <w:pPr>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shd w:val="clear" w:color="auto" w:fill="FFFFFF"/>
        </w:rPr>
        <w:t>二是持续开展水污染防治攻坚。</w:t>
      </w:r>
      <w:r>
        <w:rPr>
          <w:rFonts w:hint="eastAsia" w:ascii="仿宋_GB2312" w:hAnsi="仿宋_GB2312" w:eastAsia="仿宋_GB2312" w:cs="仿宋_GB2312"/>
          <w:sz w:val="32"/>
          <w:szCs w:val="32"/>
          <w:shd w:val="clear" w:color="auto" w:fill="FFFFFF"/>
        </w:rPr>
        <w:t>做好枯水期水环境管理工作，进一步加大南湖治理力度，力争南湖水质</w:t>
      </w:r>
      <w:r>
        <w:rPr>
          <w:rFonts w:hint="eastAsia" w:ascii="仿宋_GB2312" w:hAnsi="仿宋_GB2312" w:eastAsia="仿宋_GB2312" w:cs="仿宋_GB2312"/>
          <w:sz w:val="32"/>
          <w:szCs w:val="32"/>
          <w:shd w:val="clear" w:color="auto" w:fill="FFFFFF"/>
          <w:lang w:val="en-US" w:eastAsia="zh-CN"/>
        </w:rPr>
        <w:t>全年</w:t>
      </w:r>
      <w:r>
        <w:rPr>
          <w:rFonts w:hint="eastAsia" w:ascii="仿宋_GB2312" w:hAnsi="仿宋_GB2312" w:eastAsia="仿宋_GB2312" w:cs="仿宋_GB2312"/>
          <w:sz w:val="32"/>
          <w:szCs w:val="32"/>
          <w:shd w:val="clear" w:color="auto" w:fill="FFFFFF"/>
        </w:rPr>
        <w:t>稳定达到</w:t>
      </w:r>
      <w:r>
        <w:rPr>
          <w:rFonts w:hint="eastAsia" w:ascii="仿宋_GB2312" w:hAnsi="仿宋_GB2312" w:eastAsia="仿宋_GB2312" w:cs="仿宋_GB2312"/>
          <w:sz w:val="32"/>
          <w:szCs w:val="32"/>
        </w:rPr>
        <w:t>地表水Ⅲ类，并做好南湖水华防治工作，避免出现蓝藻大面积爆发。做好双塘村“千人以上”饮用水源地保护工作，开展</w:t>
      </w:r>
      <w:r>
        <w:rPr>
          <w:rFonts w:hint="eastAsia" w:ascii="仿宋_GB2312" w:hAnsi="仿宋_GB2312" w:eastAsia="仿宋_GB2312" w:cs="仿宋_GB2312"/>
          <w:sz w:val="32"/>
          <w:szCs w:val="32"/>
          <w:lang w:val="en-US" w:eastAsia="zh-CN"/>
        </w:rPr>
        <w:t>饮用水源地</w:t>
      </w:r>
      <w:r>
        <w:rPr>
          <w:rFonts w:hint="eastAsia" w:ascii="仿宋_GB2312" w:hAnsi="仿宋_GB2312" w:eastAsia="仿宋_GB2312" w:cs="仿宋_GB2312"/>
          <w:sz w:val="32"/>
          <w:szCs w:val="32"/>
        </w:rPr>
        <w:t>水质检测。</w:t>
      </w:r>
    </w:p>
    <w:p w14:paraId="62D3D016">
      <w:pPr>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shd w:val="clear" w:color="auto" w:fill="FFFFFF"/>
        </w:rPr>
        <w:t>三是加强</w:t>
      </w:r>
      <w:r>
        <w:rPr>
          <w:rFonts w:hint="eastAsia" w:ascii="仿宋_GB2312" w:hAnsi="仿宋_GB2312" w:eastAsia="仿宋_GB2312" w:cs="仿宋_GB2312"/>
          <w:b/>
          <w:bCs/>
          <w:sz w:val="32"/>
          <w:szCs w:val="32"/>
        </w:rPr>
        <w:t>项目</w:t>
      </w:r>
      <w:r>
        <w:rPr>
          <w:rFonts w:hint="eastAsia" w:ascii="仿宋_GB2312" w:hAnsi="仿宋_GB2312" w:eastAsia="仿宋_GB2312" w:cs="仿宋_GB2312"/>
          <w:b/>
          <w:bCs/>
          <w:sz w:val="32"/>
          <w:szCs w:val="32"/>
          <w:lang w:val="en-US" w:eastAsia="zh-CN"/>
        </w:rPr>
        <w:t>申报和</w:t>
      </w:r>
      <w:r>
        <w:rPr>
          <w:rFonts w:hint="eastAsia" w:ascii="仿宋_GB2312" w:hAnsi="仿宋_GB2312" w:eastAsia="仿宋_GB2312" w:cs="仿宋_GB2312"/>
          <w:b/>
          <w:bCs/>
          <w:sz w:val="32"/>
          <w:szCs w:val="32"/>
        </w:rPr>
        <w:t>资金监管。</w:t>
      </w:r>
      <w:r>
        <w:rPr>
          <w:rFonts w:hint="eastAsia" w:ascii="仿宋_GB2312" w:hAnsi="仿宋_GB2312" w:eastAsia="仿宋_GB2312" w:cs="仿宋_GB2312"/>
          <w:sz w:val="32"/>
          <w:szCs w:val="32"/>
          <w:lang w:val="en-US" w:eastAsia="zh-CN"/>
        </w:rPr>
        <w:t>加大项目申报力度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对已申报落地的项目</w:t>
      </w:r>
      <w:r>
        <w:rPr>
          <w:rFonts w:hint="eastAsia" w:ascii="仿宋_GB2312" w:hAnsi="仿宋_GB2312" w:eastAsia="仿宋_GB2312" w:cs="仿宋_GB2312"/>
          <w:sz w:val="32"/>
          <w:szCs w:val="32"/>
        </w:rPr>
        <w:t>加快项目实施</w:t>
      </w:r>
      <w:r>
        <w:rPr>
          <w:rFonts w:hint="eastAsia" w:ascii="仿宋_GB2312" w:hAnsi="仿宋_GB2312" w:eastAsia="仿宋_GB2312" w:cs="仿宋_GB2312"/>
          <w:sz w:val="32"/>
          <w:szCs w:val="32"/>
          <w:lang w:val="en-US" w:eastAsia="zh-CN"/>
        </w:rPr>
        <w:t>和资金监管。</w:t>
      </w:r>
    </w:p>
    <w:p w14:paraId="72D45B7D">
      <w:pPr>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四是做好企业服务工作。</w:t>
      </w:r>
      <w:r>
        <w:rPr>
          <w:rFonts w:hint="eastAsia" w:ascii="仿宋_GB2312" w:hAnsi="仿宋_GB2312" w:eastAsia="仿宋_GB2312" w:cs="仿宋_GB2312"/>
          <w:sz w:val="32"/>
          <w:szCs w:val="32"/>
          <w:shd w:val="clear" w:color="auto" w:fill="FFFFFF"/>
        </w:rPr>
        <w:t>加强项目审批工作，对符合条件的项目一律从快、从简审批，做好项目审批信息公开工作。组织企业开展排污许可证、固废相关工作培训，对企业存在的问题进行解答，对相关系统操作进行解读。</w:t>
      </w:r>
    </w:p>
    <w:p w14:paraId="1641F14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　　（二）坚守生态环境安全底线</w:t>
      </w:r>
    </w:p>
    <w:p w14:paraId="2CD9940C">
      <w:pPr>
        <w:pStyle w:val="10"/>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hint="default" w:ascii="仿宋_GB2312" w:hAnsi="仿宋_GB2312" w:eastAsia="仿宋_GB2312" w:cs="仿宋_GB2312"/>
          <w:kern w:val="0"/>
          <w:sz w:val="32"/>
          <w:szCs w:val="32"/>
          <w:lang w:val="en-US" w:eastAsia="zh-CN" w:bidi="ar"/>
        </w:rPr>
      </w:pPr>
      <w:r>
        <w:rPr>
          <w:rFonts w:hint="eastAsia" w:ascii="仿宋_GB2312" w:hAnsi="仿宋_GB2312" w:eastAsia="仿宋_GB2312" w:cs="仿宋_GB2312"/>
          <w:b/>
          <w:bCs/>
          <w:kern w:val="0"/>
          <w:sz w:val="32"/>
          <w:szCs w:val="32"/>
          <w:lang w:bidi="ar"/>
        </w:rPr>
        <w:t>一是</w:t>
      </w:r>
      <w:r>
        <w:rPr>
          <w:rFonts w:hint="eastAsia" w:ascii="仿宋_GB2312" w:hAnsi="仿宋_GB2312" w:eastAsia="仿宋_GB2312" w:cs="仿宋_GB2312"/>
          <w:kern w:val="0"/>
          <w:sz w:val="32"/>
          <w:szCs w:val="32"/>
          <w:lang w:bidi="ar"/>
        </w:rPr>
        <w:t>贯彻实施好南湖截污、活水等“十字治理方针”，配合有关部门抓好南湖综合整治；</w:t>
      </w:r>
      <w:r>
        <w:rPr>
          <w:rFonts w:hint="eastAsia" w:ascii="仿宋_GB2312" w:hAnsi="仿宋_GB2312" w:eastAsia="仿宋_GB2312" w:cs="仿宋_GB2312"/>
          <w:b/>
          <w:bCs/>
          <w:kern w:val="0"/>
          <w:sz w:val="32"/>
          <w:szCs w:val="32"/>
          <w:lang w:bidi="ar"/>
        </w:rPr>
        <w:t>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按照时间节点推进突出生态环境问题的整改；</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加大执法力度，维护生态领域环境安全；</w:t>
      </w:r>
      <w:r>
        <w:rPr>
          <w:rFonts w:hint="eastAsia" w:ascii="仿宋_GB2312" w:hAnsi="仿宋_GB2312" w:eastAsia="仿宋_GB2312" w:cs="仿宋_GB2312"/>
          <w:b/>
          <w:bCs/>
          <w:sz w:val="32"/>
          <w:szCs w:val="32"/>
        </w:rPr>
        <w:t>四</w:t>
      </w:r>
      <w:r>
        <w:rPr>
          <w:rFonts w:hint="eastAsia" w:ascii="仿宋_GB2312" w:hAnsi="仿宋_GB2312" w:eastAsia="仿宋_GB2312" w:cs="仿宋_GB2312"/>
          <w:b/>
          <w:bCs/>
          <w:kern w:val="0"/>
          <w:sz w:val="32"/>
          <w:szCs w:val="32"/>
          <w:lang w:bidi="ar"/>
        </w:rPr>
        <w:t>是</w:t>
      </w:r>
      <w:r>
        <w:rPr>
          <w:rFonts w:hint="eastAsia" w:ascii="仿宋_GB2312" w:hAnsi="仿宋_GB2312" w:eastAsia="仿宋_GB2312" w:cs="仿宋_GB2312"/>
          <w:kern w:val="0"/>
          <w:sz w:val="32"/>
          <w:szCs w:val="32"/>
          <w:lang w:bidi="ar"/>
        </w:rPr>
        <w:t>全面推进长江重点入河（湖）排口整治工作按时按序完成</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b/>
          <w:bCs/>
          <w:kern w:val="0"/>
          <w:sz w:val="32"/>
          <w:szCs w:val="32"/>
          <w:lang w:val="en-US" w:eastAsia="zh-CN" w:bidi="ar"/>
        </w:rPr>
        <w:t>五是</w:t>
      </w:r>
      <w:r>
        <w:rPr>
          <w:rFonts w:hint="eastAsia" w:ascii="仿宋_GB2312" w:hAnsi="仿宋_GB2312" w:eastAsia="仿宋_GB2312" w:cs="仿宋_GB2312"/>
          <w:kern w:val="0"/>
          <w:sz w:val="32"/>
          <w:szCs w:val="32"/>
          <w:lang w:val="en-US" w:eastAsia="zh-CN" w:bidi="ar"/>
        </w:rPr>
        <w:t>全面推进南湖新区创建国家级“两山”实践创新基地。</w:t>
      </w:r>
    </w:p>
    <w:p w14:paraId="6EE7AC7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0"/>
        <w:jc w:val="both"/>
        <w:rPr>
          <w:rFonts w:hint="eastAsia"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　　（三）深入推进队伍建设</w:t>
      </w:r>
    </w:p>
    <w:p w14:paraId="07CC4848">
      <w:pPr>
        <w:pStyle w:val="10"/>
        <w:keepNext w:val="0"/>
        <w:keepLines w:val="0"/>
        <w:pageBreakBefore w:val="0"/>
        <w:kinsoku/>
        <w:wordWrap/>
        <w:overflowPunct/>
        <w:topLinePunct w:val="0"/>
        <w:autoSpaceDE/>
        <w:autoSpaceDN/>
        <w:bidi w:val="0"/>
        <w:adjustRightInd/>
        <w:snapToGrid/>
        <w:spacing w:after="32" w:afterLines="10"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以平考工作为抓手，狠抓队伍建设，不断提升工作绩效；</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严守廉洁底线，深入推进党风廉政建设</w:t>
      </w:r>
      <w:r>
        <w:rPr>
          <w:rFonts w:hint="eastAsia" w:ascii="仿宋_GB2312" w:hAnsi="仿宋_GB2312" w:eastAsia="仿宋_GB2312" w:cs="仿宋_GB2312"/>
          <w:sz w:val="32"/>
          <w:szCs w:val="32"/>
          <w:lang w:val="en-US" w:eastAsia="zh-CN"/>
        </w:rPr>
        <w:t>和党纪学习，</w:t>
      </w:r>
      <w:r>
        <w:rPr>
          <w:rFonts w:hint="eastAsia" w:ascii="仿宋_GB2312" w:hAnsi="仿宋_GB2312" w:eastAsia="仿宋_GB2312" w:cs="仿宋_GB2312"/>
          <w:sz w:val="32"/>
          <w:szCs w:val="32"/>
        </w:rPr>
        <w:t>持续抓好违规收送红包礼金整治、严禁酒驾醉驾整治等工作；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持续推进“五化”建设、守护好“一江碧水”等党建工作。</w:t>
      </w:r>
    </w:p>
    <w:p w14:paraId="4ED1BF2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79B20CC9">
      <w:pPr>
        <w:pStyle w:val="2"/>
        <w:ind w:firstLine="620" w:firstLineChars="200"/>
        <w:rPr>
          <w:rFonts w:hint="default"/>
        </w:rPr>
      </w:pPr>
      <w:r>
        <w:rPr>
          <w:rFonts w:hint="default"/>
        </w:rPr>
        <w:t>本单位绩效自评结果为</w:t>
      </w:r>
      <w:r>
        <w:rPr>
          <w:rFonts w:hint="eastAsia"/>
          <w:lang w:eastAsia="zh-CN"/>
        </w:rPr>
        <w:t>优秀</w:t>
      </w:r>
      <w:r>
        <w:rPr>
          <w:rFonts w:hint="default"/>
        </w:rPr>
        <w:t>等级。下一步将根据财政检查绩效自评发现的问题等进行改善，并按政务公开的相关规定，及时将部门整体支出及项目绩效自评报告，通过门户网站向社会公开。</w:t>
      </w:r>
    </w:p>
    <w:p w14:paraId="0DAC02B3">
      <w:pPr>
        <w:keepNext w:val="0"/>
        <w:keepLines w:val="0"/>
        <w:pageBreakBefore w:val="0"/>
        <w:widowControl/>
        <w:numPr>
          <w:ilvl w:val="0"/>
          <w:numId w:val="0"/>
        </w:numPr>
        <w:kinsoku/>
        <w:wordWrap/>
        <w:overflowPunct/>
        <w:topLinePunct w:val="0"/>
        <w:autoSpaceDE/>
        <w:autoSpaceDN/>
        <w:bidi w:val="0"/>
        <w:adjustRightInd/>
        <w:snapToGrid/>
        <w:spacing w:line="640" w:lineRule="exact"/>
        <w:ind w:left="0" w:leftChars="0"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kern w:val="0"/>
          <w:sz w:val="32"/>
          <w:szCs w:val="32"/>
          <w:lang w:val="en-US" w:eastAsia="zh-CN" w:bidi="ar-SA"/>
        </w:rPr>
        <w:t>十、</w:t>
      </w:r>
      <w:r>
        <w:rPr>
          <w:rFonts w:hint="default" w:ascii="Times New Roman" w:hAnsi="Times New Roman" w:eastAsia="黑体" w:cs="Times New Roman"/>
          <w:sz w:val="32"/>
          <w:szCs w:val="32"/>
          <w:highlight w:val="none"/>
        </w:rPr>
        <w:t>其他需要说明的情况</w:t>
      </w:r>
    </w:p>
    <w:p w14:paraId="00995362">
      <w:pPr>
        <w:pStyle w:val="2"/>
        <w:ind w:firstLine="620" w:firstLineChars="200"/>
        <w:rPr>
          <w:rFonts w:hint="eastAsia"/>
          <w:lang w:eastAsia="zh-CN"/>
        </w:rPr>
      </w:pPr>
      <w:r>
        <w:rPr>
          <w:rFonts w:hint="eastAsia"/>
          <w:lang w:eastAsia="zh-CN"/>
        </w:rPr>
        <w:t>无。</w:t>
      </w:r>
    </w:p>
    <w:p w14:paraId="6EAABB9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4D13CD5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0FF7091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263774B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4AD728F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14:paraId="58704E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531F81-4902-41E3-918D-153FA0A3CA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5FAE3076-F394-4DFE-8152-7623F8B18F24}"/>
  </w:font>
  <w:font w:name="方正小标宋简体">
    <w:altName w:val="黑体"/>
    <w:panose1 w:val="02010601030101010101"/>
    <w:charset w:val="86"/>
    <w:family w:val="auto"/>
    <w:pitch w:val="default"/>
    <w:sig w:usb0="00000000" w:usb1="00000000" w:usb2="00000000" w:usb3="00000000" w:csb0="00040000" w:csb1="00000000"/>
    <w:embedRegular r:id="rId3" w:fontKey="{47262492-7D90-4403-8FB4-A9B47E80260B}"/>
  </w:font>
  <w:font w:name="仿宋_GB2312">
    <w:altName w:val="仿宋"/>
    <w:panose1 w:val="02010609030101010101"/>
    <w:charset w:val="86"/>
    <w:family w:val="modern"/>
    <w:pitch w:val="default"/>
    <w:sig w:usb0="00000000" w:usb1="00000000" w:usb2="00000000" w:usb3="00000000" w:csb0="00040000" w:csb1="00000000"/>
    <w:embedRegular r:id="rId4" w:fontKey="{28339A92-F811-4AF1-BA62-AACA9C4C3C83}"/>
  </w:font>
  <w:font w:name="方正仿宋_GB2312">
    <w:panose1 w:val="02000000000000000000"/>
    <w:charset w:val="86"/>
    <w:family w:val="auto"/>
    <w:pitch w:val="default"/>
    <w:sig w:usb0="A00002BF" w:usb1="184F6CFA" w:usb2="00000012" w:usb3="00000000" w:csb0="00040001" w:csb1="00000000"/>
    <w:embedRegular r:id="rId5" w:fontKey="{02D3D8AB-F6CE-403C-8CC3-35C074C8D881}"/>
  </w:font>
  <w:font w:name="等线">
    <w:panose1 w:val="02010600030101010101"/>
    <w:charset w:val="86"/>
    <w:family w:val="auto"/>
    <w:pitch w:val="default"/>
    <w:sig w:usb0="A00002BF" w:usb1="38CF7CFA" w:usb2="00000016" w:usb3="00000000" w:csb0="0004000F" w:csb1="00000000"/>
    <w:embedRegular r:id="rId6" w:fontKey="{7D8B7760-670E-4C6B-B4A2-54DD832EFB1D}"/>
  </w:font>
  <w:font w:name="方正小标宋_GBK">
    <w:altName w:val="微软雅黑"/>
    <w:panose1 w:val="02000000000000000000"/>
    <w:charset w:val="86"/>
    <w:family w:val="script"/>
    <w:pitch w:val="default"/>
    <w:sig w:usb0="00000000" w:usb1="00000000" w:usb2="00000000" w:usb3="00000000" w:csb0="00040000" w:csb1="00000000"/>
    <w:embedRegular r:id="rId7" w:fontKey="{C40EDB53-A0C0-438F-99EE-89E6A36F5989}"/>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8" w:fontKey="{3C06D10F-11EC-45F7-B0B9-89923F86B3FB}"/>
  </w:font>
  <w:font w:name="楷体">
    <w:panose1 w:val="02010609060101010101"/>
    <w:charset w:val="86"/>
    <w:family w:val="auto"/>
    <w:pitch w:val="default"/>
    <w:sig w:usb0="800002BF" w:usb1="38CF7CFA" w:usb2="00000016" w:usb3="00000000" w:csb0="00040001" w:csb1="00000000"/>
    <w:embedRegular r:id="rId9" w:fontKey="{75BE9FB8-87D2-4B61-90C1-61C1614775DE}"/>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D5912"/>
    <w:multiLevelType w:val="singleLevel"/>
    <w:tmpl w:val="0D6D5912"/>
    <w:lvl w:ilvl="0" w:tentative="0">
      <w:start w:val="1"/>
      <w:numFmt w:val="chineseCounting"/>
      <w:suff w:val="nothing"/>
      <w:lvlText w:val="%1、"/>
      <w:lvlJc w:val="left"/>
      <w:rPr>
        <w:rFonts w:hint="eastAsia"/>
      </w:rPr>
    </w:lvl>
  </w:abstractNum>
  <w:abstractNum w:abstractNumId="1">
    <w:nsid w:val="472DDDE8"/>
    <w:multiLevelType w:val="singleLevel"/>
    <w:tmpl w:val="472DDDE8"/>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D20C38"/>
    <w:rsid w:val="014C4DA3"/>
    <w:rsid w:val="06D74DCF"/>
    <w:rsid w:val="09095327"/>
    <w:rsid w:val="093D1475"/>
    <w:rsid w:val="09BA4874"/>
    <w:rsid w:val="0ABF0394"/>
    <w:rsid w:val="0DEF6124"/>
    <w:rsid w:val="0FA82F40"/>
    <w:rsid w:val="11DD7FFC"/>
    <w:rsid w:val="11E20679"/>
    <w:rsid w:val="121F5BBC"/>
    <w:rsid w:val="122338FE"/>
    <w:rsid w:val="128D521B"/>
    <w:rsid w:val="149C7998"/>
    <w:rsid w:val="15AB60E4"/>
    <w:rsid w:val="16AB2114"/>
    <w:rsid w:val="17D20C38"/>
    <w:rsid w:val="19720CC7"/>
    <w:rsid w:val="19E00326"/>
    <w:rsid w:val="19EE47F1"/>
    <w:rsid w:val="20E22BD6"/>
    <w:rsid w:val="20EF2BFD"/>
    <w:rsid w:val="250F1AC0"/>
    <w:rsid w:val="26473737"/>
    <w:rsid w:val="270B2D9A"/>
    <w:rsid w:val="27B30E28"/>
    <w:rsid w:val="289E567B"/>
    <w:rsid w:val="29D775D8"/>
    <w:rsid w:val="2CFF6788"/>
    <w:rsid w:val="2F642A08"/>
    <w:rsid w:val="34257573"/>
    <w:rsid w:val="398E5251"/>
    <w:rsid w:val="3A413B35"/>
    <w:rsid w:val="3A5C5DEC"/>
    <w:rsid w:val="3A63048C"/>
    <w:rsid w:val="3AC961FF"/>
    <w:rsid w:val="3F636838"/>
    <w:rsid w:val="3FEB6F5A"/>
    <w:rsid w:val="44E1092B"/>
    <w:rsid w:val="45244CBC"/>
    <w:rsid w:val="4E9B4517"/>
    <w:rsid w:val="507A1C34"/>
    <w:rsid w:val="51BD002A"/>
    <w:rsid w:val="534E1882"/>
    <w:rsid w:val="53DE69AE"/>
    <w:rsid w:val="55833339"/>
    <w:rsid w:val="55914E77"/>
    <w:rsid w:val="56694C24"/>
    <w:rsid w:val="5A0709DC"/>
    <w:rsid w:val="5ADC3C17"/>
    <w:rsid w:val="5B187DB8"/>
    <w:rsid w:val="5BC8419B"/>
    <w:rsid w:val="5CAC7619"/>
    <w:rsid w:val="5D210D4E"/>
    <w:rsid w:val="5D2E44D2"/>
    <w:rsid w:val="604C7149"/>
    <w:rsid w:val="60762418"/>
    <w:rsid w:val="61EC2D95"/>
    <w:rsid w:val="625642AF"/>
    <w:rsid w:val="6315416A"/>
    <w:rsid w:val="685A617B"/>
    <w:rsid w:val="6865349E"/>
    <w:rsid w:val="6A995680"/>
    <w:rsid w:val="6D9640F9"/>
    <w:rsid w:val="6D967C55"/>
    <w:rsid w:val="6E7361E8"/>
    <w:rsid w:val="703D6AAE"/>
    <w:rsid w:val="71883D59"/>
    <w:rsid w:val="72343EE1"/>
    <w:rsid w:val="756D3991"/>
    <w:rsid w:val="7C6C2CF6"/>
    <w:rsid w:val="7E1F3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0"/>
    <w:pPr>
      <w:ind w:left="1680" w:leftChars="800"/>
    </w:pPr>
  </w:style>
  <w:style w:type="paragraph" w:styleId="4">
    <w:name w:val="toc 1"/>
    <w:basedOn w:val="1"/>
    <w:next w:val="1"/>
    <w:unhideWhenUsed/>
    <w:qFormat/>
    <w:uiPriority w:val="39"/>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List Paragraph"/>
    <w:basedOn w:val="1"/>
    <w:autoRedefine/>
    <w:qFormat/>
    <w:uiPriority w:val="99"/>
    <w:pPr>
      <w:ind w:firstLine="420" w:firstLineChars="200"/>
    </w:pPr>
    <w:rPr>
      <w:rFonts w:ascii="Calibri" w:hAnsi="Calibri"/>
      <w:szCs w:val="22"/>
    </w:rPr>
  </w:style>
  <w:style w:type="paragraph" w:customStyle="1" w:styleId="10">
    <w:name w:val="_Style 1"/>
    <w:basedOn w:val="1"/>
    <w:qFormat/>
    <w:uiPriority w:val="0"/>
    <w:pPr>
      <w:spacing w:line="481" w:lineRule="atLeast"/>
      <w:ind w:firstLine="623"/>
      <w:textAlignment w:val="baseline"/>
    </w:pPr>
    <w:rPr>
      <w:rFonts w:ascii="Times New Roman" w:hAnsi="Times New Roman"/>
      <w:color w:val="000000"/>
      <w:sz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930</Words>
  <Characters>1121</Characters>
  <Lines>0</Lines>
  <Paragraphs>0</Paragraphs>
  <TotalTime>1</TotalTime>
  <ScaleCrop>false</ScaleCrop>
  <LinksUpToDate>false</LinksUpToDate>
  <CharactersWithSpaces>1236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2026-05-15T08:09:00Z</dcterms:created>
  <dc:creator>李晨</dc:creator>
  <cp:lastModifiedBy>李晨</cp:lastModifiedBy>
  <dcterms:modified xsi:type="dcterms:W3CDTF">2026-05-19T08:51:00Z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8877868BB5FA46EBA67966B524692728_13</vt:lpwstr>
  </property>
  <property fmtid="{D5CDD505-2E9C-101B-9397-08002B2CF9AE}" pid="4" name="KSOTemplateDocerSaveRecord">
    <vt:lpwstr>eyJoZGlkIjoiNTJkZGY2NTg4NjcwZGMzZmU2OGY1MGNlNzZiNmFmY2UiLCJ1c2VySWQiOiIyNDA2NTM0MjMifQ==</vt:lpwstr>
  </property>
</Properties>
</file>