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53D1C">
      <w:pPr>
        <w:spacing w:after="120" w:afterLines="50" w:line="600" w:lineRule="exact"/>
        <w:jc w:val="both"/>
        <w:rPr>
          <w:rFonts w:hint="eastAsia" w:ascii="黑体" w:hAnsi="黑体" w:eastAsia="黑体" w:cs="黑体"/>
          <w:sz w:val="32"/>
          <w:szCs w:val="32"/>
          <w:highlight w:val="none"/>
          <w:lang w:val="en-US" w:eastAsia="zh-CN"/>
        </w:rPr>
      </w:pPr>
      <w:bookmarkStart w:id="11" w:name="_GoBack"/>
      <w:bookmarkEnd w:id="11"/>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40E0487D">
      <w:pPr>
        <w:spacing w:after="120" w:afterLines="50" w:line="600" w:lineRule="exact"/>
        <w:jc w:val="center"/>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10"/>
        <w:tblW w:w="9582" w:type="dxa"/>
        <w:jc w:val="center"/>
        <w:tblLayout w:type="fixed"/>
        <w:tblCellMar>
          <w:top w:w="0" w:type="dxa"/>
          <w:left w:w="108" w:type="dxa"/>
          <w:bottom w:w="0" w:type="dxa"/>
          <w:right w:w="108" w:type="dxa"/>
        </w:tblCellMar>
      </w:tblPr>
      <w:tblGrid>
        <w:gridCol w:w="3585"/>
        <w:gridCol w:w="867"/>
        <w:gridCol w:w="849"/>
        <w:gridCol w:w="1129"/>
        <w:gridCol w:w="1111"/>
        <w:gridCol w:w="1081"/>
        <w:gridCol w:w="960"/>
      </w:tblGrid>
      <w:tr w14:paraId="21EA6B8C">
        <w:tblPrEx>
          <w:tblCellMar>
            <w:top w:w="0" w:type="dxa"/>
            <w:left w:w="108" w:type="dxa"/>
            <w:bottom w:w="0" w:type="dxa"/>
            <w:right w:w="108" w:type="dxa"/>
          </w:tblCellMar>
        </w:tblPrEx>
        <w:trPr>
          <w:trHeight w:val="0" w:hRule="atLeast"/>
          <w:jc w:val="center"/>
        </w:trPr>
        <w:tc>
          <w:tcPr>
            <w:tcW w:w="3585" w:type="dxa"/>
            <w:vMerge w:val="restart"/>
            <w:tcBorders>
              <w:top w:val="single" w:color="auto" w:sz="4" w:space="0"/>
              <w:left w:val="single" w:color="auto" w:sz="4" w:space="0"/>
              <w:bottom w:val="single" w:color="auto" w:sz="4" w:space="0"/>
              <w:right w:val="single" w:color="auto" w:sz="4" w:space="0"/>
            </w:tcBorders>
            <w:noWrap w:val="0"/>
            <w:vAlign w:val="center"/>
          </w:tcPr>
          <w:p w14:paraId="01076E4B">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1716" w:type="dxa"/>
            <w:gridSpan w:val="2"/>
            <w:tcBorders>
              <w:top w:val="single" w:color="auto" w:sz="4" w:space="0"/>
              <w:left w:val="nil"/>
              <w:bottom w:val="single" w:color="auto" w:sz="4" w:space="0"/>
              <w:right w:val="single" w:color="auto" w:sz="4" w:space="0"/>
            </w:tcBorders>
            <w:noWrap w:val="0"/>
            <w:vAlign w:val="center"/>
          </w:tcPr>
          <w:p w14:paraId="0AD1765E">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45965B5A">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56E6D709">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51760474">
        <w:tblPrEx>
          <w:tblCellMar>
            <w:top w:w="0" w:type="dxa"/>
            <w:left w:w="108" w:type="dxa"/>
            <w:bottom w:w="0" w:type="dxa"/>
            <w:right w:w="108" w:type="dxa"/>
          </w:tblCellMar>
        </w:tblPrEx>
        <w:trPr>
          <w:trHeight w:val="0" w:hRule="atLeast"/>
          <w:jc w:val="center"/>
        </w:trPr>
        <w:tc>
          <w:tcPr>
            <w:tcW w:w="3585" w:type="dxa"/>
            <w:vMerge w:val="continue"/>
            <w:tcBorders>
              <w:top w:val="single" w:color="auto" w:sz="4" w:space="0"/>
              <w:left w:val="single" w:color="auto" w:sz="4" w:space="0"/>
              <w:bottom w:val="single" w:color="auto" w:sz="4" w:space="0"/>
              <w:right w:val="single" w:color="auto" w:sz="4" w:space="0"/>
            </w:tcBorders>
            <w:noWrap w:val="0"/>
            <w:vAlign w:val="center"/>
          </w:tcPr>
          <w:p w14:paraId="1EEF1180">
            <w:pPr>
              <w:widowControl/>
              <w:spacing w:line="360" w:lineRule="exact"/>
              <w:jc w:val="left"/>
              <w:rPr>
                <w:rFonts w:hint="eastAsia" w:ascii="仿宋_GB2312" w:hAnsi="仿宋_GB2312" w:eastAsia="仿宋_GB2312" w:cs="仿宋_GB2312"/>
                <w:sz w:val="20"/>
                <w:szCs w:val="20"/>
                <w:highlight w:val="none"/>
              </w:rPr>
            </w:pPr>
          </w:p>
        </w:tc>
        <w:tc>
          <w:tcPr>
            <w:tcW w:w="1716" w:type="dxa"/>
            <w:gridSpan w:val="2"/>
            <w:tcBorders>
              <w:top w:val="single" w:color="auto" w:sz="4" w:space="0"/>
              <w:left w:val="nil"/>
              <w:bottom w:val="single" w:color="auto" w:sz="4" w:space="0"/>
              <w:right w:val="single" w:color="auto" w:sz="4" w:space="0"/>
            </w:tcBorders>
            <w:noWrap w:val="0"/>
            <w:vAlign w:val="center"/>
          </w:tcPr>
          <w:p w14:paraId="7EF74DED">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w:t>
            </w:r>
          </w:p>
        </w:tc>
        <w:tc>
          <w:tcPr>
            <w:tcW w:w="2240" w:type="dxa"/>
            <w:gridSpan w:val="2"/>
            <w:tcBorders>
              <w:top w:val="single" w:color="auto" w:sz="4" w:space="0"/>
              <w:left w:val="nil"/>
              <w:bottom w:val="single" w:color="auto" w:sz="4" w:space="0"/>
              <w:right w:val="single" w:color="auto" w:sz="4" w:space="0"/>
            </w:tcBorders>
            <w:noWrap w:val="0"/>
            <w:vAlign w:val="center"/>
          </w:tcPr>
          <w:p w14:paraId="3A3B00D7">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8</w:t>
            </w:r>
          </w:p>
        </w:tc>
        <w:tc>
          <w:tcPr>
            <w:tcW w:w="2041" w:type="dxa"/>
            <w:gridSpan w:val="2"/>
            <w:tcBorders>
              <w:top w:val="single" w:color="auto" w:sz="4" w:space="0"/>
              <w:left w:val="nil"/>
              <w:bottom w:val="single" w:color="auto" w:sz="4" w:space="0"/>
              <w:right w:val="single" w:color="auto" w:sz="4" w:space="0"/>
            </w:tcBorders>
            <w:noWrap w:val="0"/>
            <w:vAlign w:val="center"/>
          </w:tcPr>
          <w:p w14:paraId="17250641">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100.00%</w:t>
            </w:r>
            <w:r>
              <w:rPr>
                <w:rFonts w:hint="eastAsia" w:ascii="仿宋_GB2312" w:hAnsi="仿宋_GB2312" w:eastAsia="仿宋_GB2312" w:cs="仿宋_GB2312"/>
                <w:sz w:val="20"/>
                <w:szCs w:val="20"/>
                <w:highlight w:val="none"/>
              </w:rPr>
              <w:t>　</w:t>
            </w:r>
          </w:p>
        </w:tc>
      </w:tr>
      <w:tr w14:paraId="0EBF8B9E">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noWrap w:val="0"/>
            <w:vAlign w:val="center"/>
          </w:tcPr>
          <w:p w14:paraId="1CBDB651">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1716" w:type="dxa"/>
            <w:gridSpan w:val="2"/>
            <w:tcBorders>
              <w:top w:val="single" w:color="auto" w:sz="4" w:space="0"/>
              <w:left w:val="nil"/>
              <w:bottom w:val="single" w:color="auto" w:sz="4" w:space="0"/>
              <w:right w:val="single" w:color="000000" w:sz="4" w:space="0"/>
            </w:tcBorders>
            <w:noWrap w:val="0"/>
            <w:vAlign w:val="center"/>
          </w:tcPr>
          <w:p w14:paraId="74691EA5">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3A858751">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21E54FFE">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14:paraId="15A4CDDE">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noWrap w:val="0"/>
            <w:vAlign w:val="center"/>
          </w:tcPr>
          <w:p w14:paraId="1B1C3DD1">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1716" w:type="dxa"/>
            <w:gridSpan w:val="2"/>
            <w:tcBorders>
              <w:top w:val="single" w:color="auto" w:sz="4" w:space="0"/>
              <w:left w:val="nil"/>
              <w:bottom w:val="single" w:color="auto" w:sz="4" w:space="0"/>
              <w:right w:val="single" w:color="000000" w:sz="4" w:space="0"/>
            </w:tcBorders>
            <w:shd w:val="clear" w:color="auto" w:fill="auto"/>
            <w:noWrap w:val="0"/>
            <w:vAlign w:val="center"/>
          </w:tcPr>
          <w:p w14:paraId="694AC199">
            <w:pPr>
              <w:widowControl/>
              <w:spacing w:line="360" w:lineRule="exact"/>
              <w:jc w:val="center"/>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0.33</w:t>
            </w:r>
          </w:p>
        </w:tc>
        <w:tc>
          <w:tcPr>
            <w:tcW w:w="2240" w:type="dxa"/>
            <w:gridSpan w:val="2"/>
            <w:tcBorders>
              <w:top w:val="single" w:color="auto" w:sz="4" w:space="0"/>
              <w:left w:val="nil"/>
              <w:bottom w:val="single" w:color="auto" w:sz="4" w:space="0"/>
              <w:right w:val="single" w:color="000000" w:sz="4" w:space="0"/>
            </w:tcBorders>
            <w:noWrap w:val="0"/>
            <w:vAlign w:val="center"/>
          </w:tcPr>
          <w:p w14:paraId="23F4FE1A">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0.5</w:t>
            </w:r>
          </w:p>
        </w:tc>
        <w:tc>
          <w:tcPr>
            <w:tcW w:w="2041" w:type="dxa"/>
            <w:gridSpan w:val="2"/>
            <w:tcBorders>
              <w:top w:val="single" w:color="auto" w:sz="4" w:space="0"/>
              <w:left w:val="nil"/>
              <w:bottom w:val="single" w:color="auto" w:sz="4" w:space="0"/>
              <w:right w:val="single" w:color="000000" w:sz="4" w:space="0"/>
            </w:tcBorders>
            <w:noWrap w:val="0"/>
            <w:vAlign w:val="center"/>
          </w:tcPr>
          <w:p w14:paraId="4E186F5A">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0.19</w:t>
            </w:r>
          </w:p>
        </w:tc>
      </w:tr>
      <w:tr w14:paraId="4FA68668">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noWrap w:val="0"/>
            <w:vAlign w:val="center"/>
          </w:tcPr>
          <w:p w14:paraId="61698C06">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1716" w:type="dxa"/>
            <w:gridSpan w:val="2"/>
            <w:tcBorders>
              <w:top w:val="single" w:color="auto" w:sz="4" w:space="0"/>
              <w:left w:val="nil"/>
              <w:bottom w:val="single" w:color="auto" w:sz="4" w:space="0"/>
              <w:right w:val="single" w:color="000000" w:sz="4" w:space="0"/>
            </w:tcBorders>
            <w:shd w:val="clear" w:color="auto" w:fill="auto"/>
            <w:noWrap w:val="0"/>
            <w:vAlign w:val="center"/>
          </w:tcPr>
          <w:p w14:paraId="4FFF300A">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04DE64B">
            <w:pPr>
              <w:widowControl/>
              <w:spacing w:line="360" w:lineRule="exact"/>
              <w:jc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F7FED03">
            <w:pPr>
              <w:widowControl/>
              <w:spacing w:line="360" w:lineRule="exact"/>
              <w:jc w:val="center"/>
              <w:rPr>
                <w:rFonts w:hint="default" w:ascii="仿宋_GB2312" w:hAnsi="仿宋_GB2312" w:eastAsia="仿宋_GB2312" w:cs="仿宋_GB2312"/>
                <w:sz w:val="20"/>
                <w:szCs w:val="20"/>
                <w:highlight w:val="none"/>
                <w:lang w:val="en-US" w:eastAsia="zh-CN"/>
              </w:rPr>
            </w:pPr>
          </w:p>
        </w:tc>
      </w:tr>
      <w:tr w14:paraId="7308F5C7">
        <w:tblPrEx>
          <w:tblCellMar>
            <w:top w:w="0" w:type="dxa"/>
            <w:left w:w="108" w:type="dxa"/>
            <w:bottom w:w="0" w:type="dxa"/>
            <w:right w:w="108" w:type="dxa"/>
          </w:tblCellMar>
        </w:tblPrEx>
        <w:trPr>
          <w:trHeight w:val="377" w:hRule="atLeast"/>
          <w:jc w:val="center"/>
        </w:trPr>
        <w:tc>
          <w:tcPr>
            <w:tcW w:w="3585" w:type="dxa"/>
            <w:tcBorders>
              <w:top w:val="nil"/>
              <w:left w:val="single" w:color="auto" w:sz="4" w:space="0"/>
              <w:bottom w:val="single" w:color="auto" w:sz="4" w:space="0"/>
              <w:right w:val="single" w:color="auto" w:sz="4" w:space="0"/>
            </w:tcBorders>
            <w:noWrap w:val="0"/>
            <w:vAlign w:val="center"/>
          </w:tcPr>
          <w:p w14:paraId="20A10645">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1716" w:type="dxa"/>
            <w:gridSpan w:val="2"/>
            <w:tcBorders>
              <w:top w:val="single" w:color="auto" w:sz="4" w:space="0"/>
              <w:left w:val="nil"/>
              <w:bottom w:val="single" w:color="auto" w:sz="4" w:space="0"/>
              <w:right w:val="single" w:color="000000" w:sz="4" w:space="0"/>
            </w:tcBorders>
            <w:shd w:val="clear" w:color="auto" w:fill="auto"/>
            <w:noWrap w:val="0"/>
            <w:vAlign w:val="center"/>
          </w:tcPr>
          <w:p w14:paraId="48DB808A">
            <w:pPr>
              <w:widowControl/>
              <w:spacing w:line="360" w:lineRule="exact"/>
              <w:jc w:val="center"/>
              <w:rPr>
                <w:rFonts w:hint="eastAsia" w:ascii="仿宋_GB2312" w:hAnsi="仿宋_GB2312" w:eastAsia="仿宋_GB2312" w:cs="仿宋_GB2312"/>
                <w:kern w:val="0"/>
                <w:sz w:val="20"/>
                <w:szCs w:val="20"/>
                <w:highlight w:val="none"/>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3196FAF3">
            <w:pPr>
              <w:widowControl/>
              <w:spacing w:line="360" w:lineRule="exact"/>
              <w:jc w:val="center"/>
              <w:rPr>
                <w:rFonts w:hint="eastAsia" w:ascii="仿宋_GB2312" w:hAnsi="仿宋_GB2312" w:eastAsia="仿宋_GB2312" w:cs="仿宋_GB2312"/>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CB66879">
            <w:pPr>
              <w:widowControl/>
              <w:spacing w:line="360" w:lineRule="exact"/>
              <w:jc w:val="center"/>
              <w:rPr>
                <w:rFonts w:hint="eastAsia" w:ascii="仿宋_GB2312" w:hAnsi="仿宋_GB2312" w:eastAsia="仿宋_GB2312" w:cs="仿宋_GB2312"/>
                <w:sz w:val="20"/>
                <w:szCs w:val="20"/>
                <w:highlight w:val="none"/>
              </w:rPr>
            </w:pPr>
          </w:p>
        </w:tc>
      </w:tr>
      <w:tr w14:paraId="44A4B06F">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noWrap w:val="0"/>
            <w:vAlign w:val="center"/>
          </w:tcPr>
          <w:p w14:paraId="32FFE74A">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1716" w:type="dxa"/>
            <w:gridSpan w:val="2"/>
            <w:tcBorders>
              <w:top w:val="single" w:color="auto" w:sz="4" w:space="0"/>
              <w:left w:val="nil"/>
              <w:bottom w:val="single" w:color="auto" w:sz="4" w:space="0"/>
              <w:right w:val="single" w:color="000000" w:sz="4" w:space="0"/>
            </w:tcBorders>
            <w:shd w:val="clear" w:color="auto" w:fill="auto"/>
            <w:noWrap w:val="0"/>
            <w:vAlign w:val="center"/>
          </w:tcPr>
          <w:p w14:paraId="1D00B19B">
            <w:pPr>
              <w:widowControl/>
              <w:spacing w:line="360" w:lineRule="exact"/>
              <w:jc w:val="center"/>
              <w:rPr>
                <w:rFonts w:hint="eastAsia" w:ascii="仿宋_GB2312" w:hAnsi="仿宋_GB2312" w:eastAsia="仿宋_GB2312" w:cs="仿宋_GB2312"/>
                <w:kern w:val="0"/>
                <w:sz w:val="20"/>
                <w:szCs w:val="20"/>
                <w:highlight w:val="none"/>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C7BA414">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8E8DA27">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r>
      <w:tr w14:paraId="2D1E94BA">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noWrap w:val="0"/>
            <w:vAlign w:val="center"/>
          </w:tcPr>
          <w:p w14:paraId="2332499D">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1716" w:type="dxa"/>
            <w:gridSpan w:val="2"/>
            <w:tcBorders>
              <w:top w:val="single" w:color="auto" w:sz="4" w:space="0"/>
              <w:left w:val="nil"/>
              <w:bottom w:val="single" w:color="auto" w:sz="4" w:space="0"/>
              <w:right w:val="single" w:color="000000" w:sz="4" w:space="0"/>
            </w:tcBorders>
            <w:shd w:val="clear" w:color="auto" w:fill="auto"/>
            <w:noWrap w:val="0"/>
            <w:vAlign w:val="center"/>
          </w:tcPr>
          <w:p w14:paraId="2089235D">
            <w:pPr>
              <w:widowControl/>
              <w:spacing w:line="360" w:lineRule="exact"/>
              <w:jc w:val="center"/>
              <w:rPr>
                <w:rFonts w:hint="eastAsia" w:ascii="仿宋_GB2312" w:hAnsi="仿宋_GB2312" w:eastAsia="仿宋_GB2312" w:cs="仿宋_GB2312"/>
                <w:kern w:val="0"/>
                <w:sz w:val="20"/>
                <w:szCs w:val="20"/>
                <w:highlight w:val="none"/>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9517407">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9D0A24F">
            <w:pPr>
              <w:widowControl/>
              <w:spacing w:line="360" w:lineRule="exact"/>
              <w:jc w:val="center"/>
              <w:rPr>
                <w:rFonts w:hint="eastAsia" w:ascii="仿宋_GB2312" w:hAnsi="仿宋_GB2312" w:eastAsia="仿宋_GB2312" w:cs="仿宋_GB2312"/>
                <w:sz w:val="20"/>
                <w:szCs w:val="20"/>
                <w:highlight w:val="none"/>
              </w:rPr>
            </w:pPr>
          </w:p>
        </w:tc>
      </w:tr>
      <w:tr w14:paraId="38A48FA8">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noWrap w:val="0"/>
            <w:vAlign w:val="center"/>
          </w:tcPr>
          <w:p w14:paraId="0011BDA4">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1716" w:type="dxa"/>
            <w:gridSpan w:val="2"/>
            <w:tcBorders>
              <w:top w:val="single" w:color="auto" w:sz="4" w:space="0"/>
              <w:left w:val="nil"/>
              <w:bottom w:val="single" w:color="auto" w:sz="4" w:space="0"/>
              <w:right w:val="single" w:color="000000" w:sz="4" w:space="0"/>
            </w:tcBorders>
            <w:shd w:val="clear" w:color="auto" w:fill="auto"/>
            <w:noWrap w:val="0"/>
            <w:vAlign w:val="center"/>
          </w:tcPr>
          <w:p w14:paraId="7DBCBDF3">
            <w:pPr>
              <w:widowControl/>
              <w:spacing w:line="360" w:lineRule="exact"/>
              <w:jc w:val="center"/>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0.33</w:t>
            </w:r>
          </w:p>
        </w:tc>
        <w:tc>
          <w:tcPr>
            <w:tcW w:w="2240" w:type="dxa"/>
            <w:gridSpan w:val="2"/>
            <w:tcBorders>
              <w:top w:val="single" w:color="auto" w:sz="4" w:space="0"/>
              <w:left w:val="nil"/>
              <w:bottom w:val="single" w:color="auto" w:sz="4" w:space="0"/>
              <w:right w:val="single" w:color="000000" w:sz="4" w:space="0"/>
            </w:tcBorders>
            <w:noWrap w:val="0"/>
            <w:vAlign w:val="center"/>
          </w:tcPr>
          <w:p w14:paraId="561554A0">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0.5</w:t>
            </w:r>
          </w:p>
        </w:tc>
        <w:tc>
          <w:tcPr>
            <w:tcW w:w="2041" w:type="dxa"/>
            <w:gridSpan w:val="2"/>
            <w:tcBorders>
              <w:top w:val="single" w:color="auto" w:sz="4" w:space="0"/>
              <w:left w:val="nil"/>
              <w:bottom w:val="single" w:color="auto" w:sz="4" w:space="0"/>
              <w:right w:val="single" w:color="000000" w:sz="4" w:space="0"/>
            </w:tcBorders>
            <w:noWrap w:val="0"/>
            <w:vAlign w:val="center"/>
          </w:tcPr>
          <w:p w14:paraId="60A9DE1D">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0.19</w:t>
            </w:r>
          </w:p>
        </w:tc>
      </w:tr>
      <w:tr w14:paraId="43555B5E">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noWrap w:val="0"/>
            <w:vAlign w:val="center"/>
          </w:tcPr>
          <w:p w14:paraId="512CF465">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1716" w:type="dxa"/>
            <w:gridSpan w:val="2"/>
            <w:tcBorders>
              <w:top w:val="single" w:color="auto" w:sz="4" w:space="0"/>
              <w:left w:val="nil"/>
              <w:bottom w:val="single" w:color="auto" w:sz="4" w:space="0"/>
              <w:right w:val="single" w:color="000000" w:sz="4" w:space="0"/>
            </w:tcBorders>
            <w:shd w:val="clear" w:color="auto" w:fill="auto"/>
            <w:noWrap w:val="0"/>
            <w:vAlign w:val="center"/>
          </w:tcPr>
          <w:p w14:paraId="00AA9D7D">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76.82</w:t>
            </w:r>
          </w:p>
        </w:tc>
        <w:tc>
          <w:tcPr>
            <w:tcW w:w="2240" w:type="dxa"/>
            <w:gridSpan w:val="2"/>
            <w:tcBorders>
              <w:top w:val="single" w:color="auto" w:sz="4" w:space="0"/>
              <w:left w:val="nil"/>
              <w:bottom w:val="single" w:color="auto" w:sz="4" w:space="0"/>
              <w:right w:val="single" w:color="000000" w:sz="4" w:space="0"/>
            </w:tcBorders>
            <w:noWrap w:val="0"/>
            <w:vAlign w:val="center"/>
          </w:tcPr>
          <w:p w14:paraId="5C17C916">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26.20</w:t>
            </w:r>
          </w:p>
        </w:tc>
        <w:tc>
          <w:tcPr>
            <w:tcW w:w="2041" w:type="dxa"/>
            <w:gridSpan w:val="2"/>
            <w:tcBorders>
              <w:top w:val="single" w:color="auto" w:sz="4" w:space="0"/>
              <w:left w:val="nil"/>
              <w:bottom w:val="single" w:color="auto" w:sz="4" w:space="0"/>
              <w:right w:val="single" w:color="000000" w:sz="4" w:space="0"/>
            </w:tcBorders>
            <w:noWrap w:val="0"/>
            <w:vAlign w:val="center"/>
          </w:tcPr>
          <w:p w14:paraId="48008829">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43.07</w:t>
            </w:r>
          </w:p>
        </w:tc>
      </w:tr>
      <w:tr w14:paraId="02781CD6">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noWrap w:val="0"/>
            <w:vAlign w:val="center"/>
          </w:tcPr>
          <w:p w14:paraId="0F268858">
            <w:pPr>
              <w:widowControl/>
              <w:spacing w:line="360" w:lineRule="exact"/>
              <w:ind w:firstLine="200" w:firstLineChars="100"/>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1、办案费支出</w:t>
            </w:r>
          </w:p>
        </w:tc>
        <w:tc>
          <w:tcPr>
            <w:tcW w:w="1716" w:type="dxa"/>
            <w:gridSpan w:val="2"/>
            <w:tcBorders>
              <w:top w:val="single" w:color="auto" w:sz="4" w:space="0"/>
              <w:left w:val="nil"/>
              <w:bottom w:val="single" w:color="auto" w:sz="4" w:space="0"/>
              <w:right w:val="single" w:color="000000" w:sz="4" w:space="0"/>
            </w:tcBorders>
            <w:noWrap w:val="0"/>
            <w:vAlign w:val="center"/>
          </w:tcPr>
          <w:p w14:paraId="594E62F1">
            <w:pPr>
              <w:widowControl/>
              <w:spacing w:line="360" w:lineRule="exact"/>
              <w:jc w:val="center"/>
              <w:rPr>
                <w:rFonts w:hint="eastAsia" w:ascii="仿宋_GB2312" w:hAnsi="仿宋_GB2312" w:eastAsia="仿宋_GB2312" w:cs="仿宋_GB2312"/>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BF31A2A">
            <w:pPr>
              <w:widowControl/>
              <w:spacing w:line="360" w:lineRule="exact"/>
              <w:jc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326A261">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21.31</w:t>
            </w:r>
          </w:p>
        </w:tc>
      </w:tr>
      <w:tr w14:paraId="1B628384">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noWrap w:val="0"/>
            <w:vAlign w:val="center"/>
          </w:tcPr>
          <w:p w14:paraId="050A16B5">
            <w:pPr>
              <w:widowControl/>
              <w:spacing w:line="360" w:lineRule="exact"/>
              <w:ind w:firstLine="200" w:firstLineChars="1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2、环境监察、监测等运行经费</w:t>
            </w:r>
          </w:p>
        </w:tc>
        <w:tc>
          <w:tcPr>
            <w:tcW w:w="1716" w:type="dxa"/>
            <w:gridSpan w:val="2"/>
            <w:tcBorders>
              <w:top w:val="single" w:color="auto" w:sz="4" w:space="0"/>
              <w:left w:val="nil"/>
              <w:bottom w:val="single" w:color="auto" w:sz="4" w:space="0"/>
              <w:right w:val="single" w:color="000000" w:sz="4" w:space="0"/>
            </w:tcBorders>
            <w:noWrap w:val="0"/>
            <w:vAlign w:val="center"/>
          </w:tcPr>
          <w:p w14:paraId="3F401BE8">
            <w:pPr>
              <w:widowControl/>
              <w:spacing w:line="360" w:lineRule="exact"/>
              <w:jc w:val="center"/>
              <w:rPr>
                <w:rFonts w:hint="eastAsia" w:ascii="仿宋_GB2312" w:hAnsi="仿宋_GB2312" w:eastAsia="仿宋_GB2312" w:cs="仿宋_GB2312"/>
                <w:sz w:val="20"/>
                <w:szCs w:val="20"/>
                <w:highlight w:val="none"/>
                <w:lang w:val="en-US" w:eastAsia="zh-CN"/>
              </w:rPr>
            </w:pPr>
            <w:r>
              <w:rPr>
                <w:rFonts w:hint="default" w:ascii="仿宋_GB2312" w:hAnsi="仿宋_GB2312" w:eastAsia="仿宋_GB2312" w:cs="仿宋_GB2312"/>
                <w:color w:val="auto"/>
                <w:kern w:val="0"/>
                <w:sz w:val="20"/>
                <w:szCs w:val="20"/>
                <w:lang w:val="en-US" w:eastAsia="zh-CN" w:bidi="ar-SA"/>
              </w:rPr>
              <w:t>25.83</w:t>
            </w:r>
          </w:p>
        </w:tc>
        <w:tc>
          <w:tcPr>
            <w:tcW w:w="2240" w:type="dxa"/>
            <w:gridSpan w:val="2"/>
            <w:tcBorders>
              <w:top w:val="single" w:color="auto" w:sz="4" w:space="0"/>
              <w:left w:val="nil"/>
              <w:bottom w:val="single" w:color="auto" w:sz="4" w:space="0"/>
              <w:right w:val="single" w:color="000000" w:sz="4" w:space="0"/>
            </w:tcBorders>
            <w:noWrap w:val="0"/>
            <w:vAlign w:val="center"/>
          </w:tcPr>
          <w:p w14:paraId="042F8679">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26.20</w:t>
            </w:r>
          </w:p>
        </w:tc>
        <w:tc>
          <w:tcPr>
            <w:tcW w:w="2041" w:type="dxa"/>
            <w:gridSpan w:val="2"/>
            <w:tcBorders>
              <w:top w:val="single" w:color="auto" w:sz="4" w:space="0"/>
              <w:left w:val="nil"/>
              <w:bottom w:val="single" w:color="auto" w:sz="4" w:space="0"/>
              <w:right w:val="single" w:color="000000" w:sz="4" w:space="0"/>
            </w:tcBorders>
            <w:noWrap w:val="0"/>
            <w:vAlign w:val="center"/>
          </w:tcPr>
          <w:p w14:paraId="4B38B996">
            <w:pPr>
              <w:widowControl/>
              <w:spacing w:line="360" w:lineRule="exact"/>
              <w:jc w:val="center"/>
              <w:rPr>
                <w:rFonts w:hint="eastAsia" w:ascii="仿宋_GB2312" w:hAnsi="仿宋_GB2312" w:eastAsia="仿宋_GB2312" w:cs="仿宋_GB2312"/>
                <w:sz w:val="20"/>
                <w:szCs w:val="20"/>
                <w:highlight w:val="none"/>
                <w:lang w:val="en-US" w:eastAsia="zh-CN"/>
              </w:rPr>
            </w:pPr>
          </w:p>
        </w:tc>
      </w:tr>
      <w:tr w14:paraId="3A63630B">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noWrap w:val="0"/>
            <w:vAlign w:val="center"/>
          </w:tcPr>
          <w:p w14:paraId="42B5B72B">
            <w:pPr>
              <w:widowControl/>
              <w:spacing w:line="360" w:lineRule="exact"/>
              <w:ind w:firstLine="200" w:firstLineChars="10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sz w:val="20"/>
                <w:szCs w:val="20"/>
                <w:highlight w:val="none"/>
                <w:lang w:val="en-US" w:eastAsia="zh-CN"/>
              </w:rPr>
              <w:t>3、</w:t>
            </w:r>
            <w:r>
              <w:rPr>
                <w:rFonts w:hint="eastAsia" w:ascii="仿宋_GB2312" w:hAnsi="仿宋_GB2312" w:eastAsia="仿宋_GB2312" w:cs="仿宋_GB2312"/>
                <w:sz w:val="20"/>
                <w:szCs w:val="20"/>
                <w:highlight w:val="none"/>
              </w:rPr>
              <w:t>秸秆禁烧管控资金</w:t>
            </w:r>
          </w:p>
        </w:tc>
        <w:tc>
          <w:tcPr>
            <w:tcW w:w="1716" w:type="dxa"/>
            <w:gridSpan w:val="2"/>
            <w:tcBorders>
              <w:top w:val="single" w:color="auto" w:sz="4" w:space="0"/>
              <w:left w:val="nil"/>
              <w:bottom w:val="single" w:color="auto" w:sz="4" w:space="0"/>
              <w:right w:val="single" w:color="000000" w:sz="4" w:space="0"/>
            </w:tcBorders>
            <w:shd w:val="clear" w:color="auto" w:fill="auto"/>
            <w:noWrap w:val="0"/>
            <w:vAlign w:val="center"/>
          </w:tcPr>
          <w:p w14:paraId="33600D1B">
            <w:pPr>
              <w:widowControl/>
              <w:spacing w:line="360" w:lineRule="exact"/>
              <w:jc w:val="center"/>
              <w:rPr>
                <w:rFonts w:hint="eastAsia" w:ascii="仿宋_GB2312" w:hAnsi="仿宋_GB2312" w:eastAsia="仿宋_GB2312" w:cs="仿宋_GB2312"/>
                <w:kern w:val="0"/>
                <w:sz w:val="20"/>
                <w:szCs w:val="20"/>
                <w:highlight w:val="none"/>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243EF4F2">
            <w:pPr>
              <w:widowControl/>
              <w:spacing w:line="360" w:lineRule="exact"/>
              <w:jc w:val="center"/>
              <w:rPr>
                <w:rFonts w:hint="default" w:ascii="仿宋_GB2312" w:hAnsi="仿宋_GB2312" w:eastAsia="仿宋_GB2312" w:cs="仿宋_GB2312"/>
                <w:color w:val="auto"/>
                <w:kern w:val="0"/>
                <w:sz w:val="20"/>
                <w:szCs w:val="20"/>
                <w:highlight w:val="none"/>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21EA653">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kern w:val="0"/>
                <w:sz w:val="20"/>
                <w:szCs w:val="20"/>
                <w:lang w:val="en-US" w:eastAsia="zh-CN" w:bidi="ar-SA"/>
              </w:rPr>
              <w:t xml:space="preserve">7.00 </w:t>
            </w:r>
          </w:p>
        </w:tc>
      </w:tr>
      <w:tr w14:paraId="0C9DA76F">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shd w:val="clear" w:color="auto" w:fill="auto"/>
            <w:noWrap w:val="0"/>
            <w:vAlign w:val="center"/>
          </w:tcPr>
          <w:p w14:paraId="2087DF76">
            <w:pPr>
              <w:widowControl/>
              <w:tabs>
                <w:tab w:val="left" w:pos="963"/>
              </w:tabs>
              <w:spacing w:line="360" w:lineRule="exact"/>
              <w:ind w:firstLine="200" w:firstLineChars="100"/>
              <w:jc w:val="left"/>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lang w:eastAsia="zh-CN"/>
              </w:rPr>
              <w:t>业务工作经费</w:t>
            </w:r>
          </w:p>
        </w:tc>
        <w:tc>
          <w:tcPr>
            <w:tcW w:w="1716" w:type="dxa"/>
            <w:gridSpan w:val="2"/>
            <w:tcBorders>
              <w:top w:val="single" w:color="auto" w:sz="4" w:space="0"/>
              <w:left w:val="nil"/>
              <w:bottom w:val="single" w:color="auto" w:sz="4" w:space="0"/>
              <w:right w:val="single" w:color="000000" w:sz="4" w:space="0"/>
            </w:tcBorders>
            <w:shd w:val="clear" w:color="auto" w:fill="auto"/>
            <w:noWrap w:val="0"/>
            <w:vAlign w:val="center"/>
          </w:tcPr>
          <w:p w14:paraId="0A0B5D3E">
            <w:pPr>
              <w:widowControl/>
              <w:spacing w:line="360" w:lineRule="exact"/>
              <w:jc w:val="center"/>
              <w:rPr>
                <w:rFonts w:hint="eastAsia"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50.99</w:t>
            </w:r>
          </w:p>
        </w:tc>
        <w:tc>
          <w:tcPr>
            <w:tcW w:w="2240" w:type="dxa"/>
            <w:gridSpan w:val="2"/>
            <w:tcBorders>
              <w:top w:val="single" w:color="auto" w:sz="4" w:space="0"/>
              <w:left w:val="nil"/>
              <w:bottom w:val="single" w:color="auto" w:sz="4" w:space="0"/>
              <w:right w:val="single" w:color="000000" w:sz="4" w:space="0"/>
            </w:tcBorders>
            <w:shd w:val="clear" w:color="auto" w:fill="auto"/>
            <w:noWrap w:val="0"/>
            <w:vAlign w:val="center"/>
          </w:tcPr>
          <w:p w14:paraId="03F55AA4">
            <w:pPr>
              <w:widowControl/>
              <w:spacing w:line="360" w:lineRule="exact"/>
              <w:jc w:val="center"/>
              <w:rPr>
                <w:rFonts w:hint="eastAsia"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2D919D44">
            <w:pPr>
              <w:widowControl/>
              <w:spacing w:line="360" w:lineRule="exact"/>
              <w:jc w:val="center"/>
              <w:rPr>
                <w:rFonts w:hint="eastAsia"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 xml:space="preserve"> </w:t>
            </w:r>
          </w:p>
        </w:tc>
      </w:tr>
      <w:tr w14:paraId="4064DE64">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shd w:val="clear" w:color="auto" w:fill="auto"/>
            <w:noWrap w:val="0"/>
            <w:vAlign w:val="center"/>
          </w:tcPr>
          <w:p w14:paraId="0CBB8A2A">
            <w:pPr>
              <w:widowControl/>
              <w:tabs>
                <w:tab w:val="left" w:pos="963"/>
              </w:tabs>
              <w:spacing w:line="360" w:lineRule="exact"/>
              <w:ind w:firstLine="200" w:firstLineChars="100"/>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5、环境监测执法经费</w:t>
            </w:r>
          </w:p>
        </w:tc>
        <w:tc>
          <w:tcPr>
            <w:tcW w:w="1716" w:type="dxa"/>
            <w:gridSpan w:val="2"/>
            <w:tcBorders>
              <w:top w:val="single" w:color="auto" w:sz="4" w:space="0"/>
              <w:left w:val="nil"/>
              <w:bottom w:val="single" w:color="auto" w:sz="4" w:space="0"/>
              <w:right w:val="single" w:color="000000" w:sz="4" w:space="0"/>
            </w:tcBorders>
            <w:shd w:val="clear" w:color="auto" w:fill="auto"/>
            <w:noWrap w:val="0"/>
            <w:vAlign w:val="center"/>
          </w:tcPr>
          <w:p w14:paraId="02C11683">
            <w:pPr>
              <w:widowControl/>
              <w:spacing w:line="360" w:lineRule="exact"/>
              <w:jc w:val="center"/>
              <w:rPr>
                <w:rFonts w:hint="eastAsia"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shd w:val="clear" w:color="auto" w:fill="auto"/>
            <w:noWrap w:val="0"/>
            <w:vAlign w:val="center"/>
          </w:tcPr>
          <w:p w14:paraId="419C67E1">
            <w:pPr>
              <w:widowControl/>
              <w:spacing w:line="360" w:lineRule="exact"/>
              <w:jc w:val="center"/>
              <w:rPr>
                <w:rFonts w:hint="eastAsia"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0A680F6E">
            <w:pPr>
              <w:widowControl/>
              <w:spacing w:line="360" w:lineRule="exact"/>
              <w:jc w:val="center"/>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14.76</w:t>
            </w:r>
          </w:p>
        </w:tc>
      </w:tr>
      <w:tr w14:paraId="28B1F57A">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shd w:val="clear" w:color="auto" w:fill="auto"/>
            <w:noWrap w:val="0"/>
            <w:vAlign w:val="center"/>
          </w:tcPr>
          <w:p w14:paraId="2DABA247">
            <w:pPr>
              <w:widowControl/>
              <w:spacing w:line="360" w:lineRule="exact"/>
              <w:jc w:val="left"/>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rPr>
              <w:t>公用经费</w:t>
            </w:r>
          </w:p>
        </w:tc>
        <w:tc>
          <w:tcPr>
            <w:tcW w:w="1716" w:type="dxa"/>
            <w:gridSpan w:val="2"/>
            <w:tcBorders>
              <w:top w:val="single" w:color="auto" w:sz="4" w:space="0"/>
              <w:left w:val="nil"/>
              <w:bottom w:val="single" w:color="auto" w:sz="4" w:space="0"/>
              <w:right w:val="single" w:color="000000" w:sz="4" w:space="0"/>
            </w:tcBorders>
            <w:shd w:val="clear" w:color="auto" w:fill="auto"/>
            <w:noWrap w:val="0"/>
            <w:vAlign w:val="center"/>
          </w:tcPr>
          <w:p w14:paraId="7A9A8FB9">
            <w:pPr>
              <w:widowControl/>
              <w:spacing w:line="360" w:lineRule="exact"/>
              <w:jc w:val="center"/>
              <w:rPr>
                <w:rFonts w:hint="eastAsia"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76.64</w:t>
            </w:r>
          </w:p>
        </w:tc>
        <w:tc>
          <w:tcPr>
            <w:tcW w:w="2240" w:type="dxa"/>
            <w:gridSpan w:val="2"/>
            <w:tcBorders>
              <w:top w:val="single" w:color="auto" w:sz="4" w:space="0"/>
              <w:left w:val="nil"/>
              <w:bottom w:val="single" w:color="auto" w:sz="4" w:space="0"/>
              <w:right w:val="single" w:color="000000" w:sz="4" w:space="0"/>
            </w:tcBorders>
            <w:shd w:val="clear" w:color="auto" w:fill="auto"/>
            <w:noWrap w:val="0"/>
            <w:vAlign w:val="center"/>
          </w:tcPr>
          <w:p w14:paraId="70A13343">
            <w:pPr>
              <w:widowControl/>
              <w:spacing w:line="360" w:lineRule="exact"/>
              <w:jc w:val="center"/>
              <w:rPr>
                <w:rFonts w:hint="eastAsia"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18.58</w:t>
            </w: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29AA13A1">
            <w:pPr>
              <w:widowControl/>
              <w:spacing w:line="360" w:lineRule="exact"/>
              <w:jc w:val="center"/>
              <w:rPr>
                <w:rFonts w:hint="eastAsia"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110.97</w:t>
            </w:r>
          </w:p>
        </w:tc>
      </w:tr>
      <w:tr w14:paraId="5D2A7078">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shd w:val="clear" w:color="auto" w:fill="auto"/>
            <w:noWrap w:val="0"/>
            <w:vAlign w:val="center"/>
          </w:tcPr>
          <w:p w14:paraId="699AEC6C">
            <w:pPr>
              <w:widowControl/>
              <w:spacing w:line="360" w:lineRule="exact"/>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rPr>
              <w:t xml:space="preserve">    其中：办公经费</w:t>
            </w:r>
          </w:p>
        </w:tc>
        <w:tc>
          <w:tcPr>
            <w:tcW w:w="1716" w:type="dxa"/>
            <w:gridSpan w:val="2"/>
            <w:tcBorders>
              <w:top w:val="single" w:color="auto" w:sz="4" w:space="0"/>
              <w:left w:val="nil"/>
              <w:bottom w:val="single" w:color="auto" w:sz="4" w:space="0"/>
              <w:right w:val="single" w:color="000000" w:sz="4" w:space="0"/>
            </w:tcBorders>
            <w:shd w:val="clear" w:color="auto" w:fill="auto"/>
            <w:noWrap w:val="0"/>
            <w:vAlign w:val="center"/>
          </w:tcPr>
          <w:p w14:paraId="72D319B5">
            <w:pPr>
              <w:widowControl/>
              <w:spacing w:line="360" w:lineRule="exact"/>
              <w:jc w:val="center"/>
              <w:rPr>
                <w:rFonts w:hint="eastAsia"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13.04</w:t>
            </w:r>
          </w:p>
        </w:tc>
        <w:tc>
          <w:tcPr>
            <w:tcW w:w="2240" w:type="dxa"/>
            <w:gridSpan w:val="2"/>
            <w:tcBorders>
              <w:top w:val="single" w:color="auto" w:sz="4" w:space="0"/>
              <w:left w:val="nil"/>
              <w:bottom w:val="single" w:color="auto" w:sz="4" w:space="0"/>
              <w:right w:val="single" w:color="000000" w:sz="4" w:space="0"/>
            </w:tcBorders>
            <w:shd w:val="clear" w:color="auto" w:fill="auto"/>
            <w:noWrap w:val="0"/>
            <w:vAlign w:val="center"/>
          </w:tcPr>
          <w:p w14:paraId="04170B39">
            <w:pPr>
              <w:widowControl/>
              <w:spacing w:line="360" w:lineRule="exact"/>
              <w:jc w:val="center"/>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14.18</w:t>
            </w: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1D8346A0">
            <w:pPr>
              <w:widowControl/>
              <w:spacing w:line="360" w:lineRule="exact"/>
              <w:jc w:val="center"/>
              <w:rPr>
                <w:rFonts w:hint="eastAsia"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20.44</w:t>
            </w:r>
          </w:p>
        </w:tc>
      </w:tr>
      <w:tr w14:paraId="6C3CD0FB">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shd w:val="clear" w:color="auto" w:fill="auto"/>
            <w:noWrap w:val="0"/>
            <w:vAlign w:val="center"/>
          </w:tcPr>
          <w:p w14:paraId="2D4B7507">
            <w:pPr>
              <w:widowControl/>
              <w:spacing w:line="360" w:lineRule="exact"/>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rPr>
              <w:t xml:space="preserve">          水费、电费、差旅费</w:t>
            </w:r>
          </w:p>
        </w:tc>
        <w:tc>
          <w:tcPr>
            <w:tcW w:w="1716" w:type="dxa"/>
            <w:gridSpan w:val="2"/>
            <w:tcBorders>
              <w:top w:val="single" w:color="auto" w:sz="4" w:space="0"/>
              <w:left w:val="nil"/>
              <w:bottom w:val="single" w:color="auto" w:sz="4" w:space="0"/>
              <w:right w:val="single" w:color="000000" w:sz="4" w:space="0"/>
            </w:tcBorders>
            <w:shd w:val="clear" w:color="auto" w:fill="auto"/>
            <w:noWrap w:val="0"/>
            <w:vAlign w:val="center"/>
          </w:tcPr>
          <w:p w14:paraId="3A13D119">
            <w:pPr>
              <w:widowControl/>
              <w:spacing w:line="360" w:lineRule="exact"/>
              <w:jc w:val="center"/>
              <w:rPr>
                <w:rFonts w:hint="eastAsia"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8.14</w:t>
            </w:r>
          </w:p>
        </w:tc>
        <w:tc>
          <w:tcPr>
            <w:tcW w:w="2240" w:type="dxa"/>
            <w:gridSpan w:val="2"/>
            <w:tcBorders>
              <w:top w:val="single" w:color="auto" w:sz="4" w:space="0"/>
              <w:left w:val="nil"/>
              <w:bottom w:val="single" w:color="auto" w:sz="4" w:space="0"/>
              <w:right w:val="single" w:color="000000" w:sz="4" w:space="0"/>
            </w:tcBorders>
            <w:shd w:val="clear" w:color="auto" w:fill="auto"/>
            <w:noWrap w:val="0"/>
            <w:vAlign w:val="center"/>
          </w:tcPr>
          <w:p w14:paraId="25CC73DF">
            <w:pPr>
              <w:widowControl/>
              <w:spacing w:line="360" w:lineRule="exact"/>
              <w:jc w:val="center"/>
              <w:rPr>
                <w:rFonts w:hint="eastAsia"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4.39</w:t>
            </w: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5E2DD32F">
            <w:pPr>
              <w:widowControl/>
              <w:spacing w:line="360" w:lineRule="exact"/>
              <w:jc w:val="center"/>
              <w:rPr>
                <w:rFonts w:hint="eastAsia"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4.39</w:t>
            </w:r>
          </w:p>
        </w:tc>
      </w:tr>
      <w:tr w14:paraId="545C3C0B">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shd w:val="clear" w:color="auto" w:fill="auto"/>
            <w:noWrap w:val="0"/>
            <w:vAlign w:val="center"/>
          </w:tcPr>
          <w:p w14:paraId="2195545D">
            <w:pPr>
              <w:widowControl/>
              <w:spacing w:line="360" w:lineRule="exact"/>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rPr>
              <w:t xml:space="preserve">          会议费、培训费</w:t>
            </w:r>
          </w:p>
        </w:tc>
        <w:tc>
          <w:tcPr>
            <w:tcW w:w="1716" w:type="dxa"/>
            <w:gridSpan w:val="2"/>
            <w:tcBorders>
              <w:top w:val="single" w:color="auto" w:sz="4" w:space="0"/>
              <w:left w:val="nil"/>
              <w:bottom w:val="single" w:color="auto" w:sz="4" w:space="0"/>
              <w:right w:val="single" w:color="000000" w:sz="4" w:space="0"/>
            </w:tcBorders>
            <w:shd w:val="clear" w:color="auto" w:fill="auto"/>
            <w:noWrap w:val="0"/>
            <w:vAlign w:val="center"/>
          </w:tcPr>
          <w:p w14:paraId="68EDF3D3">
            <w:pPr>
              <w:widowControl/>
              <w:spacing w:line="360" w:lineRule="exact"/>
              <w:jc w:val="center"/>
              <w:rPr>
                <w:rFonts w:hint="eastAsia"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shd w:val="clear" w:color="auto" w:fill="auto"/>
            <w:noWrap w:val="0"/>
            <w:vAlign w:val="center"/>
          </w:tcPr>
          <w:p w14:paraId="5F3CE47A">
            <w:pPr>
              <w:widowControl/>
              <w:spacing w:line="360" w:lineRule="exact"/>
              <w:jc w:val="center"/>
              <w:rPr>
                <w:rFonts w:hint="eastAsia"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51FFF6AE">
            <w:pPr>
              <w:widowControl/>
              <w:spacing w:line="360" w:lineRule="exact"/>
              <w:jc w:val="center"/>
              <w:rPr>
                <w:rFonts w:hint="eastAsia" w:ascii="仿宋_GB2312" w:hAnsi="仿宋_GB2312" w:eastAsia="仿宋_GB2312" w:cs="仿宋_GB2312"/>
                <w:color w:val="auto"/>
                <w:kern w:val="0"/>
                <w:sz w:val="20"/>
                <w:szCs w:val="20"/>
                <w:lang w:val="en-US" w:eastAsia="zh-CN" w:bidi="ar-SA"/>
              </w:rPr>
            </w:pPr>
          </w:p>
        </w:tc>
      </w:tr>
      <w:tr w14:paraId="40E48A9F">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shd w:val="clear" w:color="auto" w:fill="auto"/>
            <w:noWrap w:val="0"/>
            <w:vAlign w:val="center"/>
          </w:tcPr>
          <w:p w14:paraId="44CA35A5">
            <w:pPr>
              <w:widowControl/>
              <w:spacing w:line="360" w:lineRule="exact"/>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rPr>
              <w:t>政府采购金额</w:t>
            </w:r>
          </w:p>
        </w:tc>
        <w:tc>
          <w:tcPr>
            <w:tcW w:w="1716" w:type="dxa"/>
            <w:gridSpan w:val="2"/>
            <w:tcBorders>
              <w:top w:val="single" w:color="auto" w:sz="4" w:space="0"/>
              <w:left w:val="nil"/>
              <w:bottom w:val="single" w:color="auto" w:sz="4" w:space="0"/>
              <w:right w:val="single" w:color="000000" w:sz="4" w:space="0"/>
            </w:tcBorders>
            <w:shd w:val="clear" w:color="auto" w:fill="auto"/>
            <w:noWrap w:val="0"/>
            <w:vAlign w:val="center"/>
          </w:tcPr>
          <w:p w14:paraId="570C44BB">
            <w:pPr>
              <w:widowControl/>
              <w:spacing w:line="360" w:lineRule="exact"/>
              <w:jc w:val="center"/>
              <w:rPr>
                <w:rFonts w:hint="eastAsia" w:ascii="仿宋_GB2312" w:hAnsi="仿宋_GB2312" w:eastAsia="仿宋_GB2312" w:cs="仿宋_GB2312"/>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109.36</w:t>
            </w:r>
          </w:p>
        </w:tc>
        <w:tc>
          <w:tcPr>
            <w:tcW w:w="2240" w:type="dxa"/>
            <w:gridSpan w:val="2"/>
            <w:tcBorders>
              <w:top w:val="single" w:color="auto" w:sz="4" w:space="0"/>
              <w:left w:val="nil"/>
              <w:bottom w:val="single" w:color="auto" w:sz="4" w:space="0"/>
              <w:right w:val="single" w:color="000000" w:sz="4" w:space="0"/>
            </w:tcBorders>
            <w:shd w:val="clear" w:color="auto" w:fill="auto"/>
            <w:noWrap w:val="0"/>
            <w:vAlign w:val="center"/>
          </w:tcPr>
          <w:p w14:paraId="02BA990A">
            <w:pPr>
              <w:widowControl/>
              <w:spacing w:line="360" w:lineRule="exact"/>
              <w:jc w:val="center"/>
              <w:rPr>
                <w:rFonts w:hint="eastAsia" w:ascii="仿宋_GB2312" w:hAnsi="仿宋_GB2312" w:eastAsia="仿宋_GB2312" w:cs="仿宋_GB2312"/>
                <w:color w:val="auto"/>
                <w:kern w:val="0"/>
                <w:sz w:val="20"/>
                <w:szCs w:val="20"/>
                <w:highlight w:val="none"/>
                <w:lang w:val="en-US" w:eastAsia="zh-CN" w:bidi="ar-SA"/>
              </w:rPr>
            </w:pPr>
            <w:r>
              <w:rPr>
                <w:rFonts w:hint="default" w:ascii="仿宋_GB2312" w:hAnsi="仿宋_GB2312" w:eastAsia="仿宋_GB2312" w:cs="仿宋_GB2312"/>
                <w:color w:val="auto"/>
                <w:kern w:val="0"/>
                <w:sz w:val="20"/>
                <w:szCs w:val="20"/>
                <w:highlight w:val="none"/>
                <w:lang w:val="en-US" w:eastAsia="zh-CN" w:bidi="ar-SA"/>
              </w:rPr>
              <w:t>76.14</w:t>
            </w: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5CDCB8A9">
            <w:pPr>
              <w:widowControl/>
              <w:spacing w:line="360" w:lineRule="exact"/>
              <w:jc w:val="center"/>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97.97</w:t>
            </w:r>
          </w:p>
        </w:tc>
      </w:tr>
      <w:tr w14:paraId="3CD62B55">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shd w:val="clear" w:color="auto" w:fill="auto"/>
            <w:noWrap w:val="0"/>
            <w:vAlign w:val="center"/>
          </w:tcPr>
          <w:p w14:paraId="6DBD6BB5">
            <w:pPr>
              <w:widowControl/>
              <w:spacing w:line="360" w:lineRule="exact"/>
              <w:jc w:val="left"/>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rPr>
              <w:t xml:space="preserve">部门基本支出预算调整 </w:t>
            </w:r>
          </w:p>
        </w:tc>
        <w:tc>
          <w:tcPr>
            <w:tcW w:w="1716" w:type="dxa"/>
            <w:gridSpan w:val="2"/>
            <w:tcBorders>
              <w:top w:val="single" w:color="auto" w:sz="4" w:space="0"/>
              <w:left w:val="nil"/>
              <w:bottom w:val="single" w:color="auto" w:sz="4" w:space="0"/>
              <w:right w:val="single" w:color="000000" w:sz="4" w:space="0"/>
            </w:tcBorders>
            <w:shd w:val="clear" w:color="auto" w:fill="auto"/>
            <w:noWrap w:val="0"/>
            <w:vAlign w:val="center"/>
          </w:tcPr>
          <w:p w14:paraId="1930A7D4">
            <w:pPr>
              <w:widowControl/>
              <w:spacing w:line="360" w:lineRule="exact"/>
              <w:jc w:val="center"/>
              <w:rPr>
                <w:rFonts w:hint="eastAsia" w:ascii="仿宋_GB2312" w:hAnsi="仿宋_GB2312" w:eastAsia="仿宋_GB2312" w:cs="仿宋_GB2312"/>
                <w:color w:val="auto"/>
                <w:kern w:val="0"/>
                <w:sz w:val="20"/>
                <w:szCs w:val="20"/>
                <w:highlight w:val="none"/>
                <w:lang w:val="en-US" w:eastAsia="zh-CN" w:bidi="ar-SA"/>
              </w:rPr>
            </w:pPr>
          </w:p>
        </w:tc>
        <w:tc>
          <w:tcPr>
            <w:tcW w:w="2240" w:type="dxa"/>
            <w:gridSpan w:val="2"/>
            <w:tcBorders>
              <w:top w:val="single" w:color="auto" w:sz="4" w:space="0"/>
              <w:left w:val="nil"/>
              <w:bottom w:val="single" w:color="auto" w:sz="4" w:space="0"/>
              <w:right w:val="single" w:color="000000" w:sz="4" w:space="0"/>
            </w:tcBorders>
            <w:shd w:val="clear" w:color="auto" w:fill="auto"/>
            <w:noWrap w:val="0"/>
            <w:vAlign w:val="center"/>
          </w:tcPr>
          <w:p w14:paraId="50C10474">
            <w:pPr>
              <w:widowControl/>
              <w:spacing w:line="360" w:lineRule="exact"/>
              <w:jc w:val="center"/>
              <w:rPr>
                <w:rFonts w:hint="eastAsia" w:ascii="仿宋_GB2312" w:hAnsi="仿宋_GB2312" w:eastAsia="仿宋_GB2312" w:cs="仿宋_GB2312"/>
                <w:color w:val="auto"/>
                <w:kern w:val="0"/>
                <w:sz w:val="20"/>
                <w:szCs w:val="20"/>
                <w:highlight w:val="none"/>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345EC322">
            <w:pPr>
              <w:widowControl/>
              <w:spacing w:line="360" w:lineRule="exact"/>
              <w:jc w:val="center"/>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rPr>
              <w:t>　</w:t>
            </w:r>
          </w:p>
        </w:tc>
      </w:tr>
      <w:tr w14:paraId="19BE938E">
        <w:tblPrEx>
          <w:tblCellMar>
            <w:top w:w="0" w:type="dxa"/>
            <w:left w:w="108" w:type="dxa"/>
            <w:bottom w:w="0" w:type="dxa"/>
            <w:right w:w="108" w:type="dxa"/>
          </w:tblCellMar>
        </w:tblPrEx>
        <w:trPr>
          <w:trHeight w:val="0" w:hRule="atLeast"/>
          <w:jc w:val="center"/>
        </w:trPr>
        <w:tc>
          <w:tcPr>
            <w:tcW w:w="3585" w:type="dxa"/>
            <w:vMerge w:val="restart"/>
            <w:tcBorders>
              <w:top w:val="nil"/>
              <w:left w:val="single" w:color="auto" w:sz="4" w:space="0"/>
              <w:bottom w:val="single" w:color="auto" w:sz="4" w:space="0"/>
              <w:right w:val="single" w:color="auto" w:sz="4" w:space="0"/>
            </w:tcBorders>
            <w:noWrap w:val="0"/>
            <w:vAlign w:val="center"/>
          </w:tcPr>
          <w:p w14:paraId="6B45C9FC">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5</w:t>
            </w:r>
            <w:r>
              <w:rPr>
                <w:rFonts w:hint="eastAsia" w:ascii="仿宋_GB2312" w:hAnsi="仿宋_GB2312" w:eastAsia="仿宋_GB2312" w:cs="仿宋_GB2312"/>
                <w:sz w:val="20"/>
                <w:szCs w:val="20"/>
                <w:highlight w:val="none"/>
              </w:rPr>
              <w:t>年完工项目）</w:t>
            </w:r>
          </w:p>
        </w:tc>
        <w:tc>
          <w:tcPr>
            <w:tcW w:w="867" w:type="dxa"/>
            <w:tcBorders>
              <w:top w:val="nil"/>
              <w:left w:val="nil"/>
              <w:bottom w:val="single" w:color="auto" w:sz="4" w:space="0"/>
              <w:right w:val="single" w:color="auto" w:sz="4" w:space="0"/>
            </w:tcBorders>
            <w:noWrap w:val="0"/>
            <w:vAlign w:val="center"/>
          </w:tcPr>
          <w:p w14:paraId="5456BD77">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849" w:type="dxa"/>
            <w:tcBorders>
              <w:top w:val="nil"/>
              <w:left w:val="nil"/>
              <w:bottom w:val="single" w:color="auto" w:sz="4" w:space="0"/>
              <w:right w:val="single" w:color="auto" w:sz="4" w:space="0"/>
            </w:tcBorders>
            <w:noWrap w:val="0"/>
            <w:vAlign w:val="center"/>
          </w:tcPr>
          <w:p w14:paraId="2FA22334">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129" w:type="dxa"/>
            <w:tcBorders>
              <w:top w:val="nil"/>
              <w:left w:val="nil"/>
              <w:bottom w:val="single" w:color="auto" w:sz="4" w:space="0"/>
              <w:right w:val="single" w:color="auto" w:sz="4" w:space="0"/>
            </w:tcBorders>
            <w:noWrap w:val="0"/>
            <w:vAlign w:val="center"/>
          </w:tcPr>
          <w:p w14:paraId="461FBE47">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tcBorders>
              <w:top w:val="nil"/>
              <w:left w:val="nil"/>
              <w:bottom w:val="single" w:color="auto" w:sz="4" w:space="0"/>
              <w:right w:val="single" w:color="auto" w:sz="4" w:space="0"/>
            </w:tcBorders>
            <w:noWrap w:val="0"/>
            <w:vAlign w:val="center"/>
          </w:tcPr>
          <w:p w14:paraId="02036E35">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81" w:type="dxa"/>
            <w:tcBorders>
              <w:top w:val="nil"/>
              <w:left w:val="nil"/>
              <w:bottom w:val="single" w:color="auto" w:sz="4" w:space="0"/>
              <w:right w:val="single" w:color="auto" w:sz="4" w:space="0"/>
            </w:tcBorders>
            <w:noWrap w:val="0"/>
            <w:vAlign w:val="center"/>
          </w:tcPr>
          <w:p w14:paraId="51B9159E">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960" w:type="dxa"/>
            <w:tcBorders>
              <w:top w:val="nil"/>
              <w:left w:val="nil"/>
              <w:bottom w:val="single" w:color="auto" w:sz="4" w:space="0"/>
              <w:right w:val="single" w:color="auto" w:sz="4" w:space="0"/>
            </w:tcBorders>
            <w:noWrap w:val="0"/>
            <w:vAlign w:val="center"/>
          </w:tcPr>
          <w:p w14:paraId="157912D5">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20F7D7EE">
        <w:tblPrEx>
          <w:tblCellMar>
            <w:top w:w="0" w:type="dxa"/>
            <w:left w:w="108" w:type="dxa"/>
            <w:bottom w:w="0" w:type="dxa"/>
            <w:right w:w="108" w:type="dxa"/>
          </w:tblCellMar>
        </w:tblPrEx>
        <w:trPr>
          <w:trHeight w:val="0" w:hRule="atLeast"/>
          <w:jc w:val="center"/>
        </w:trPr>
        <w:tc>
          <w:tcPr>
            <w:tcW w:w="3585" w:type="dxa"/>
            <w:vMerge w:val="continue"/>
            <w:tcBorders>
              <w:top w:val="nil"/>
              <w:left w:val="single" w:color="auto" w:sz="4" w:space="0"/>
              <w:bottom w:val="single" w:color="auto" w:sz="4" w:space="0"/>
              <w:right w:val="single" w:color="auto" w:sz="4" w:space="0"/>
            </w:tcBorders>
            <w:noWrap w:val="0"/>
            <w:vAlign w:val="center"/>
          </w:tcPr>
          <w:p w14:paraId="599196D2">
            <w:pPr>
              <w:widowControl/>
              <w:spacing w:line="360" w:lineRule="exact"/>
              <w:jc w:val="left"/>
              <w:rPr>
                <w:rFonts w:hint="eastAsia" w:ascii="仿宋_GB2312" w:hAnsi="仿宋_GB2312" w:eastAsia="仿宋_GB2312" w:cs="仿宋_GB2312"/>
                <w:sz w:val="20"/>
                <w:szCs w:val="20"/>
                <w:highlight w:val="none"/>
              </w:rPr>
            </w:pPr>
          </w:p>
        </w:tc>
        <w:tc>
          <w:tcPr>
            <w:tcW w:w="867" w:type="dxa"/>
            <w:tcBorders>
              <w:top w:val="nil"/>
              <w:left w:val="nil"/>
              <w:bottom w:val="single" w:color="auto" w:sz="4" w:space="0"/>
              <w:right w:val="single" w:color="auto" w:sz="4" w:space="0"/>
            </w:tcBorders>
            <w:noWrap w:val="0"/>
            <w:vAlign w:val="center"/>
          </w:tcPr>
          <w:p w14:paraId="726BD131">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849" w:type="dxa"/>
            <w:tcBorders>
              <w:top w:val="nil"/>
              <w:left w:val="nil"/>
              <w:bottom w:val="single" w:color="auto" w:sz="4" w:space="0"/>
              <w:right w:val="single" w:color="auto" w:sz="4" w:space="0"/>
            </w:tcBorders>
            <w:noWrap w:val="0"/>
            <w:vAlign w:val="center"/>
          </w:tcPr>
          <w:p w14:paraId="00156303">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129" w:type="dxa"/>
            <w:tcBorders>
              <w:top w:val="nil"/>
              <w:left w:val="nil"/>
              <w:bottom w:val="single" w:color="auto" w:sz="4" w:space="0"/>
              <w:right w:val="single" w:color="auto" w:sz="4" w:space="0"/>
            </w:tcBorders>
            <w:noWrap w:val="0"/>
            <w:vAlign w:val="center"/>
          </w:tcPr>
          <w:p w14:paraId="2D2BCECB">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111" w:type="dxa"/>
            <w:tcBorders>
              <w:top w:val="nil"/>
              <w:left w:val="nil"/>
              <w:bottom w:val="single" w:color="auto" w:sz="4" w:space="0"/>
              <w:right w:val="single" w:color="auto" w:sz="4" w:space="0"/>
            </w:tcBorders>
            <w:noWrap w:val="0"/>
            <w:vAlign w:val="center"/>
          </w:tcPr>
          <w:p w14:paraId="6B2EB2A8">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081" w:type="dxa"/>
            <w:tcBorders>
              <w:top w:val="nil"/>
              <w:left w:val="nil"/>
              <w:bottom w:val="single" w:color="auto" w:sz="4" w:space="0"/>
              <w:right w:val="single" w:color="auto" w:sz="4" w:space="0"/>
            </w:tcBorders>
            <w:noWrap w:val="0"/>
            <w:vAlign w:val="center"/>
          </w:tcPr>
          <w:p w14:paraId="291F88DB">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960" w:type="dxa"/>
            <w:tcBorders>
              <w:top w:val="nil"/>
              <w:left w:val="nil"/>
              <w:bottom w:val="single" w:color="auto" w:sz="4" w:space="0"/>
              <w:right w:val="single" w:color="auto" w:sz="4" w:space="0"/>
            </w:tcBorders>
            <w:noWrap w:val="0"/>
            <w:vAlign w:val="center"/>
          </w:tcPr>
          <w:p w14:paraId="23FF15F6">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61F33E21">
        <w:tblPrEx>
          <w:tblCellMar>
            <w:top w:w="0" w:type="dxa"/>
            <w:left w:w="108" w:type="dxa"/>
            <w:bottom w:w="0" w:type="dxa"/>
            <w:right w:w="108" w:type="dxa"/>
          </w:tblCellMar>
        </w:tblPrEx>
        <w:trPr>
          <w:trHeight w:val="0" w:hRule="atLeast"/>
          <w:jc w:val="center"/>
        </w:trPr>
        <w:tc>
          <w:tcPr>
            <w:tcW w:w="3585" w:type="dxa"/>
            <w:tcBorders>
              <w:top w:val="nil"/>
              <w:left w:val="single" w:color="auto" w:sz="4" w:space="0"/>
              <w:bottom w:val="single" w:color="auto" w:sz="4" w:space="0"/>
              <w:right w:val="single" w:color="auto" w:sz="4" w:space="0"/>
            </w:tcBorders>
            <w:noWrap w:val="0"/>
            <w:vAlign w:val="center"/>
          </w:tcPr>
          <w:p w14:paraId="00D9F934">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5997" w:type="dxa"/>
            <w:gridSpan w:val="6"/>
            <w:tcBorders>
              <w:top w:val="single" w:color="auto" w:sz="4" w:space="0"/>
              <w:left w:val="nil"/>
              <w:bottom w:val="single" w:color="auto" w:sz="4" w:space="0"/>
              <w:right w:val="single" w:color="000000" w:sz="4" w:space="0"/>
            </w:tcBorders>
            <w:noWrap w:val="0"/>
            <w:vAlign w:val="center"/>
          </w:tcPr>
          <w:p w14:paraId="34C13413">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控制三公经费的支出　</w:t>
            </w:r>
          </w:p>
        </w:tc>
      </w:tr>
    </w:tbl>
    <w:p w14:paraId="298F31FA">
      <w:pPr>
        <w:widowControl/>
        <w:spacing w:afterLines="0" w:line="400" w:lineRule="exact"/>
        <w:jc w:val="left"/>
        <w:rPr>
          <w:rFonts w:hint="default" w:ascii="Times New Roman" w:hAnsi="Times New Roman" w:eastAsia="仿宋_GB2312" w:cs="Times New Roman"/>
          <w:sz w:val="22"/>
          <w:highlight w:val="none"/>
        </w:rPr>
      </w:pPr>
      <w:r>
        <w:rPr>
          <w:rFonts w:hint="default" w:ascii="Times New Roman" w:hAnsi="Times New Roman" w:eastAsia="仿宋_GB2312" w:cs="Times New Roman"/>
          <w:sz w:val="22"/>
          <w:highlight w:val="none"/>
        </w:rPr>
        <w:t>说明：“项目支出”需要填报基本支出以外的所有项目支出情况，“公用经费”填报基本支出中的一般商品和服务支出。</w:t>
      </w:r>
    </w:p>
    <w:p w14:paraId="562B55E7">
      <w:pPr>
        <w:widowControl/>
        <w:spacing w:afterLines="0" w:line="400" w:lineRule="exact"/>
        <w:jc w:val="left"/>
        <w:rPr>
          <w:rFonts w:hint="default" w:ascii="Times New Roman" w:hAnsi="Times New Roman" w:eastAsia="仿宋_GB2312" w:cs="Times New Roman"/>
          <w:sz w:val="22"/>
          <w:highlight w:val="none"/>
        </w:rPr>
      </w:pPr>
    </w:p>
    <w:p w14:paraId="5AADB20B">
      <w:pPr>
        <w:widowControl/>
        <w:spacing w:after="0" w:afterLines="0" w:line="400" w:lineRule="exact"/>
        <w:jc w:val="left"/>
        <w:rPr>
          <w:rFonts w:hint="default" w:ascii="Times New Roman" w:hAnsi="Times New Roman" w:eastAsia="仿宋_GB2312" w:cs="Times New Roman"/>
          <w:sz w:val="22"/>
          <w:highlight w:val="none"/>
        </w:rPr>
      </w:pPr>
      <w:r>
        <w:rPr>
          <w:rFonts w:hint="default" w:ascii="Times New Roman" w:hAnsi="Times New Roman" w:eastAsia="仿宋_GB2312" w:cs="Times New Roman"/>
          <w:sz w:val="22"/>
          <w:highlight w:val="none"/>
        </w:rPr>
        <w:t>填表人：</w:t>
      </w:r>
      <w:r>
        <w:rPr>
          <w:rFonts w:hint="eastAsia" w:ascii="Times New Roman" w:hAnsi="Times New Roman" w:eastAsia="仿宋_GB2312" w:cs="Times New Roman"/>
          <w:sz w:val="22"/>
          <w:highlight w:val="none"/>
          <w:lang w:val="en-US" w:eastAsia="zh-CN"/>
        </w:rPr>
        <w:t>黄娟</w:t>
      </w:r>
      <w:r>
        <w:rPr>
          <w:rFonts w:hint="default" w:ascii="Times New Roman" w:hAnsi="Times New Roman" w:eastAsia="仿宋_GB2312" w:cs="Times New Roman"/>
          <w:sz w:val="22"/>
          <w:highlight w:val="none"/>
        </w:rPr>
        <w:t xml:space="preserve">    填报日期：</w:t>
      </w:r>
      <w:r>
        <w:rPr>
          <w:rFonts w:hint="eastAsia" w:ascii="Times New Roman" w:hAnsi="Times New Roman" w:eastAsia="仿宋_GB2312" w:cs="Times New Roman"/>
          <w:sz w:val="22"/>
          <w:highlight w:val="none"/>
          <w:lang w:val="en-US" w:eastAsia="zh-CN"/>
        </w:rPr>
        <w:t>2026年6月1日</w:t>
      </w:r>
      <w:r>
        <w:rPr>
          <w:rFonts w:hint="default" w:ascii="Times New Roman" w:hAnsi="Times New Roman" w:eastAsia="仿宋_GB2312" w:cs="Times New Roman"/>
          <w:sz w:val="22"/>
          <w:highlight w:val="none"/>
        </w:rPr>
        <w:t xml:space="preserve">    联系电话：</w:t>
      </w:r>
      <w:r>
        <w:rPr>
          <w:rFonts w:hint="eastAsia" w:ascii="Times New Roman" w:hAnsi="Times New Roman" w:eastAsia="仿宋_GB2312" w:cs="Times New Roman"/>
          <w:sz w:val="22"/>
          <w:highlight w:val="none"/>
          <w:lang w:val="en-US" w:eastAsia="zh-CN"/>
        </w:rPr>
        <w:t>15575068909</w:t>
      </w:r>
      <w:r>
        <w:rPr>
          <w:rFonts w:hint="default" w:ascii="Times New Roman" w:hAnsi="Times New Roman" w:eastAsia="仿宋_GB2312" w:cs="Times New Roman"/>
          <w:sz w:val="22"/>
          <w:highlight w:val="none"/>
        </w:rPr>
        <w:t xml:space="preserve">            </w:t>
      </w:r>
    </w:p>
    <w:p w14:paraId="37548C28">
      <w:pPr>
        <w:widowControl/>
        <w:spacing w:after="0" w:afterLines="0" w:line="400" w:lineRule="exact"/>
        <w:jc w:val="left"/>
        <w:rPr>
          <w:rFonts w:hint="eastAsia" w:ascii="黑体" w:hAnsi="黑体" w:eastAsia="黑体" w:cs="黑体"/>
          <w:sz w:val="32"/>
          <w:szCs w:val="32"/>
          <w:highlight w:val="none"/>
          <w:lang w:eastAsia="zh-CN"/>
        </w:rPr>
      </w:pPr>
      <w:r>
        <w:rPr>
          <w:rFonts w:hint="default" w:ascii="Times New Roman" w:hAnsi="Times New Roman" w:eastAsia="仿宋_GB2312" w:cs="Times New Roman"/>
          <w:sz w:val="22"/>
          <w:highlight w:val="none"/>
        </w:rPr>
        <w:t>单位负责人签字：</w:t>
      </w:r>
      <w:r>
        <w:rPr>
          <w:rFonts w:hint="eastAsia" w:ascii="Times New Roman" w:hAnsi="Times New Roman" w:eastAsia="仿宋_GB2312" w:cs="Times New Roman"/>
          <w:sz w:val="22"/>
          <w:highlight w:val="none"/>
          <w:lang w:val="en-US" w:eastAsia="zh-CN"/>
        </w:rPr>
        <w:t>李雄</w:t>
      </w:r>
      <w:r>
        <w:rPr>
          <w:rFonts w:hint="default" w:ascii="Times New Roman" w:hAnsi="Times New Roman" w:eastAsia="仿宋_GB2312" w:cs="Times New Roman"/>
          <w:sz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61AA31CE">
      <w:pPr>
        <w:widowControl/>
        <w:spacing w:after="120" w:afterLines="50"/>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10"/>
        <w:tblW w:w="10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1097"/>
        <w:gridCol w:w="1137"/>
        <w:gridCol w:w="1274"/>
        <w:gridCol w:w="1208"/>
        <w:gridCol w:w="1686"/>
        <w:gridCol w:w="690"/>
        <w:gridCol w:w="837"/>
        <w:gridCol w:w="1075"/>
      </w:tblGrid>
      <w:tr w14:paraId="4CBE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noWrap w:val="0"/>
            <w:vAlign w:val="center"/>
          </w:tcPr>
          <w:p w14:paraId="74AB979D">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9004" w:type="dxa"/>
            <w:gridSpan w:val="8"/>
            <w:noWrap w:val="0"/>
            <w:vAlign w:val="center"/>
          </w:tcPr>
          <w:p w14:paraId="222A09B5">
            <w:pPr>
              <w:widowControl/>
              <w:spacing w:line="240" w:lineRule="exact"/>
              <w:jc w:val="center"/>
              <w:rPr>
                <w:rFonts w:hint="default" w:ascii="仿宋_GB2312" w:hAnsi="仿宋_GB2312" w:eastAsia="仿宋_GB2312" w:cs="仿宋_GB2312"/>
                <w:color w:val="000000"/>
                <w:sz w:val="20"/>
                <w:szCs w:val="20"/>
                <w:highlight w:val="none"/>
              </w:rPr>
            </w:pPr>
            <w:bookmarkStart w:id="0" w:name="OLE_LINK9"/>
            <w:r>
              <w:rPr>
                <w:rFonts w:hint="default" w:ascii="仿宋_GB2312" w:hAnsi="仿宋_GB2312" w:eastAsia="仿宋_GB2312" w:cs="仿宋_GB2312"/>
                <w:color w:val="000000"/>
                <w:sz w:val="20"/>
                <w:szCs w:val="20"/>
                <w:lang w:eastAsia="zh-CN"/>
              </w:rPr>
              <w:t>岳阳市生态环境局屈原分局</w:t>
            </w:r>
            <w:bookmarkEnd w:id="0"/>
          </w:p>
        </w:tc>
      </w:tr>
      <w:tr w14:paraId="0C87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restart"/>
            <w:noWrap w:val="0"/>
            <w:vAlign w:val="center"/>
          </w:tcPr>
          <w:p w14:paraId="3D80CE3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14:paraId="0B0858E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算申请</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234" w:type="dxa"/>
            <w:gridSpan w:val="2"/>
            <w:noWrap w:val="0"/>
            <w:vAlign w:val="center"/>
          </w:tcPr>
          <w:p w14:paraId="2AEB6B4A">
            <w:pPr>
              <w:spacing w:line="240" w:lineRule="exact"/>
              <w:jc w:val="center"/>
              <w:rPr>
                <w:rFonts w:hint="eastAsia" w:ascii="仿宋_GB2312" w:hAnsi="仿宋_GB2312" w:eastAsia="仿宋_GB2312" w:cs="仿宋_GB2312"/>
                <w:sz w:val="20"/>
                <w:szCs w:val="20"/>
                <w:highlight w:val="none"/>
              </w:rPr>
            </w:pPr>
          </w:p>
        </w:tc>
        <w:tc>
          <w:tcPr>
            <w:tcW w:w="1274" w:type="dxa"/>
            <w:noWrap w:val="0"/>
            <w:vAlign w:val="center"/>
          </w:tcPr>
          <w:p w14:paraId="53BCA894">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1208" w:type="dxa"/>
            <w:noWrap w:val="0"/>
            <w:vAlign w:val="center"/>
          </w:tcPr>
          <w:p w14:paraId="52AD1045">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1686" w:type="dxa"/>
            <w:noWrap w:val="0"/>
            <w:vAlign w:val="center"/>
          </w:tcPr>
          <w:p w14:paraId="059B29A9">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690" w:type="dxa"/>
            <w:noWrap w:val="0"/>
            <w:vAlign w:val="center"/>
          </w:tcPr>
          <w:p w14:paraId="54081CA2">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37" w:type="dxa"/>
            <w:noWrap w:val="0"/>
            <w:vAlign w:val="center"/>
          </w:tcPr>
          <w:p w14:paraId="710133E4">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075" w:type="dxa"/>
            <w:noWrap w:val="0"/>
            <w:vAlign w:val="center"/>
          </w:tcPr>
          <w:p w14:paraId="2853C450">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2EB5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noWrap w:val="0"/>
            <w:vAlign w:val="center"/>
          </w:tcPr>
          <w:p w14:paraId="6E5FBCF8">
            <w:pPr>
              <w:widowControl/>
              <w:spacing w:line="240" w:lineRule="exact"/>
              <w:jc w:val="center"/>
              <w:rPr>
                <w:rFonts w:hint="eastAsia" w:ascii="仿宋_GB2312" w:hAnsi="仿宋_GB2312" w:eastAsia="仿宋_GB2312" w:cs="仿宋_GB2312"/>
                <w:color w:val="000000"/>
                <w:sz w:val="20"/>
                <w:szCs w:val="20"/>
                <w:highlight w:val="none"/>
              </w:rPr>
            </w:pPr>
          </w:p>
        </w:tc>
        <w:tc>
          <w:tcPr>
            <w:tcW w:w="2234" w:type="dxa"/>
            <w:gridSpan w:val="2"/>
            <w:noWrap w:val="0"/>
            <w:vAlign w:val="center"/>
          </w:tcPr>
          <w:p w14:paraId="5DD9FF48">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274" w:type="dxa"/>
            <w:noWrap w:val="0"/>
            <w:vAlign w:val="center"/>
          </w:tcPr>
          <w:p w14:paraId="0348EBE6">
            <w:pPr>
              <w:spacing w:line="24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135.29</w:t>
            </w:r>
          </w:p>
        </w:tc>
        <w:tc>
          <w:tcPr>
            <w:tcW w:w="1208" w:type="dxa"/>
            <w:noWrap w:val="0"/>
            <w:vAlign w:val="center"/>
          </w:tcPr>
          <w:p w14:paraId="37A46DBD">
            <w:pPr>
              <w:spacing w:line="24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392.17</w:t>
            </w:r>
          </w:p>
        </w:tc>
        <w:tc>
          <w:tcPr>
            <w:tcW w:w="1686" w:type="dxa"/>
            <w:noWrap w:val="0"/>
            <w:vAlign w:val="center"/>
          </w:tcPr>
          <w:p w14:paraId="5B2BCD4C">
            <w:pPr>
              <w:spacing w:line="24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264.84</w:t>
            </w:r>
          </w:p>
        </w:tc>
        <w:tc>
          <w:tcPr>
            <w:tcW w:w="690" w:type="dxa"/>
            <w:noWrap w:val="0"/>
            <w:vAlign w:val="center"/>
          </w:tcPr>
          <w:p w14:paraId="6B90849B">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837" w:type="dxa"/>
            <w:noWrap w:val="0"/>
            <w:vAlign w:val="center"/>
          </w:tcPr>
          <w:p w14:paraId="7FFB80F3">
            <w:pPr>
              <w:tabs>
                <w:tab w:val="left" w:pos="251"/>
              </w:tabs>
              <w:spacing w:line="240" w:lineRule="exact"/>
              <w:jc w:val="left"/>
              <w:rPr>
                <w:rFonts w:hint="default" w:ascii="仿宋_GB2312" w:hAnsi="仿宋_GB2312" w:eastAsia="仿宋_GB2312" w:cs="仿宋_GB2312"/>
                <w:color w:val="0000FF"/>
                <w:sz w:val="20"/>
                <w:szCs w:val="20"/>
                <w:highlight w:val="none"/>
                <w:lang w:val="en-US" w:eastAsia="zh-CN"/>
              </w:rPr>
            </w:pPr>
            <w:r>
              <w:rPr>
                <w:rFonts w:hint="eastAsia" w:ascii="仿宋_GB2312" w:hAnsi="仿宋_GB2312" w:eastAsia="仿宋_GB2312" w:cs="仿宋_GB2312"/>
                <w:sz w:val="20"/>
                <w:szCs w:val="20"/>
                <w:highlight w:val="none"/>
                <w:lang w:val="en-US" w:eastAsia="zh-CN"/>
              </w:rPr>
              <w:t>67.53</w:t>
            </w:r>
            <w:r>
              <w:rPr>
                <w:rFonts w:hint="default" w:ascii="仿宋_GB2312" w:hAnsi="仿宋_GB2312" w:eastAsia="仿宋_GB2312" w:cs="仿宋_GB2312"/>
                <w:sz w:val="20"/>
                <w:szCs w:val="20"/>
                <w:highlight w:val="none"/>
                <w:lang w:val="en-US" w:eastAsia="zh-CN"/>
              </w:rPr>
              <w:t>%</w:t>
            </w:r>
          </w:p>
        </w:tc>
        <w:tc>
          <w:tcPr>
            <w:tcW w:w="1075" w:type="dxa"/>
            <w:noWrap w:val="0"/>
            <w:vAlign w:val="center"/>
          </w:tcPr>
          <w:p w14:paraId="6AD3B6DD">
            <w:pPr>
              <w:spacing w:line="240" w:lineRule="exact"/>
              <w:jc w:val="center"/>
              <w:rPr>
                <w:rFonts w:hint="default" w:ascii="仿宋_GB2312" w:hAnsi="仿宋_GB2312" w:eastAsia="仿宋_GB2312" w:cs="仿宋_GB2312"/>
                <w:color w:val="0000FF"/>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6.75</w:t>
            </w:r>
          </w:p>
        </w:tc>
      </w:tr>
      <w:tr w14:paraId="3F97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5" w:type="dxa"/>
            <w:vMerge w:val="continue"/>
            <w:noWrap w:val="0"/>
            <w:vAlign w:val="center"/>
          </w:tcPr>
          <w:p w14:paraId="1431FB41">
            <w:pPr>
              <w:widowControl/>
              <w:spacing w:line="240" w:lineRule="exact"/>
              <w:jc w:val="left"/>
              <w:rPr>
                <w:rFonts w:hint="eastAsia" w:ascii="仿宋_GB2312" w:hAnsi="仿宋_GB2312" w:eastAsia="仿宋_GB2312" w:cs="仿宋_GB2312"/>
                <w:color w:val="000000"/>
                <w:sz w:val="20"/>
                <w:szCs w:val="20"/>
                <w:highlight w:val="none"/>
              </w:rPr>
            </w:pPr>
          </w:p>
        </w:tc>
        <w:tc>
          <w:tcPr>
            <w:tcW w:w="4716" w:type="dxa"/>
            <w:gridSpan w:val="4"/>
            <w:noWrap w:val="0"/>
            <w:vAlign w:val="center"/>
          </w:tcPr>
          <w:p w14:paraId="023FD763">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按收入性质分：</w:t>
            </w:r>
          </w:p>
        </w:tc>
        <w:tc>
          <w:tcPr>
            <w:tcW w:w="4288" w:type="dxa"/>
            <w:gridSpan w:val="4"/>
            <w:noWrap w:val="0"/>
            <w:vAlign w:val="center"/>
          </w:tcPr>
          <w:p w14:paraId="0A44F1A1">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按支出性质分：</w:t>
            </w:r>
          </w:p>
        </w:tc>
      </w:tr>
      <w:tr w14:paraId="0A1F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noWrap w:val="0"/>
            <w:vAlign w:val="center"/>
          </w:tcPr>
          <w:p w14:paraId="7C70E4EE">
            <w:pPr>
              <w:widowControl/>
              <w:spacing w:line="240" w:lineRule="exact"/>
              <w:jc w:val="left"/>
              <w:rPr>
                <w:rFonts w:hint="eastAsia" w:ascii="仿宋_GB2312" w:hAnsi="仿宋_GB2312" w:eastAsia="仿宋_GB2312" w:cs="仿宋_GB2312"/>
                <w:color w:val="000000"/>
                <w:sz w:val="20"/>
                <w:szCs w:val="20"/>
                <w:highlight w:val="none"/>
              </w:rPr>
            </w:pPr>
          </w:p>
        </w:tc>
        <w:tc>
          <w:tcPr>
            <w:tcW w:w="4716" w:type="dxa"/>
            <w:gridSpan w:val="4"/>
            <w:noWrap w:val="0"/>
            <w:vAlign w:val="center"/>
          </w:tcPr>
          <w:p w14:paraId="658F2EA0">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xml:space="preserve">  其中：  一般公共预算：</w:t>
            </w:r>
            <w:r>
              <w:rPr>
                <w:rFonts w:hint="eastAsia" w:ascii="仿宋_GB2312" w:hAnsi="仿宋_GB2312" w:eastAsia="仿宋_GB2312" w:cs="仿宋_GB2312"/>
                <w:color w:val="000000"/>
                <w:sz w:val="20"/>
                <w:szCs w:val="20"/>
                <w:highlight w:val="none"/>
                <w:lang w:val="en-US" w:eastAsia="zh-CN"/>
              </w:rPr>
              <w:t>188.89</w:t>
            </w:r>
          </w:p>
        </w:tc>
        <w:tc>
          <w:tcPr>
            <w:tcW w:w="4288" w:type="dxa"/>
            <w:gridSpan w:val="4"/>
            <w:noWrap w:val="0"/>
            <w:vAlign w:val="center"/>
          </w:tcPr>
          <w:p w14:paraId="624A7F1F">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其中：基本支出：221.77</w:t>
            </w:r>
          </w:p>
        </w:tc>
      </w:tr>
      <w:tr w14:paraId="1F43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noWrap w:val="0"/>
            <w:vAlign w:val="center"/>
          </w:tcPr>
          <w:p w14:paraId="08C7CC82">
            <w:pPr>
              <w:widowControl/>
              <w:spacing w:line="240" w:lineRule="exact"/>
              <w:jc w:val="left"/>
              <w:rPr>
                <w:rFonts w:hint="eastAsia" w:ascii="仿宋_GB2312" w:hAnsi="仿宋_GB2312" w:eastAsia="仿宋_GB2312" w:cs="仿宋_GB2312"/>
                <w:color w:val="000000"/>
                <w:sz w:val="20"/>
                <w:szCs w:val="20"/>
                <w:highlight w:val="none"/>
              </w:rPr>
            </w:pPr>
          </w:p>
        </w:tc>
        <w:tc>
          <w:tcPr>
            <w:tcW w:w="4716" w:type="dxa"/>
            <w:gridSpan w:val="4"/>
            <w:noWrap w:val="0"/>
            <w:vAlign w:val="center"/>
          </w:tcPr>
          <w:p w14:paraId="65EF990E">
            <w:pPr>
              <w:widowControl/>
              <w:spacing w:line="240" w:lineRule="exact"/>
              <w:ind w:firstLine="800" w:firstLineChars="400"/>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政府性基金拨款：</w:t>
            </w:r>
          </w:p>
        </w:tc>
        <w:tc>
          <w:tcPr>
            <w:tcW w:w="4288" w:type="dxa"/>
            <w:gridSpan w:val="4"/>
            <w:noWrap w:val="0"/>
            <w:vAlign w:val="center"/>
          </w:tcPr>
          <w:p w14:paraId="1B130BB1">
            <w:pPr>
              <w:widowControl/>
              <w:spacing w:line="240" w:lineRule="exact"/>
              <w:ind w:firstLine="600" w:firstLineChars="300"/>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项目支出：</w:t>
            </w:r>
            <w:r>
              <w:rPr>
                <w:rFonts w:hint="eastAsia" w:ascii="仿宋_GB2312" w:hAnsi="仿宋_GB2312" w:eastAsia="仿宋_GB2312" w:cs="仿宋_GB2312"/>
                <w:color w:val="000000"/>
                <w:sz w:val="20"/>
                <w:szCs w:val="20"/>
                <w:highlight w:val="none"/>
                <w:lang w:val="en-US" w:eastAsia="zh-CN"/>
              </w:rPr>
              <w:t>43.07</w:t>
            </w:r>
          </w:p>
        </w:tc>
      </w:tr>
      <w:tr w14:paraId="2DDC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noWrap w:val="0"/>
            <w:vAlign w:val="center"/>
          </w:tcPr>
          <w:p w14:paraId="2D089352">
            <w:pPr>
              <w:widowControl/>
              <w:spacing w:line="240" w:lineRule="exact"/>
              <w:jc w:val="left"/>
              <w:rPr>
                <w:rFonts w:hint="eastAsia" w:ascii="仿宋_GB2312" w:hAnsi="仿宋_GB2312" w:eastAsia="仿宋_GB2312" w:cs="仿宋_GB2312"/>
                <w:color w:val="000000"/>
                <w:sz w:val="20"/>
                <w:szCs w:val="20"/>
                <w:highlight w:val="none"/>
              </w:rPr>
            </w:pPr>
          </w:p>
        </w:tc>
        <w:tc>
          <w:tcPr>
            <w:tcW w:w="4716" w:type="dxa"/>
            <w:gridSpan w:val="4"/>
            <w:noWrap w:val="0"/>
            <w:vAlign w:val="center"/>
          </w:tcPr>
          <w:p w14:paraId="4CE520FC">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纳入专户管理的非税收入拨款：</w:t>
            </w:r>
          </w:p>
        </w:tc>
        <w:tc>
          <w:tcPr>
            <w:tcW w:w="4288" w:type="dxa"/>
            <w:gridSpan w:val="4"/>
            <w:noWrap w:val="0"/>
            <w:vAlign w:val="center"/>
          </w:tcPr>
          <w:p w14:paraId="7D8F85EF">
            <w:pPr>
              <w:widowControl/>
              <w:spacing w:line="240" w:lineRule="exact"/>
              <w:jc w:val="left"/>
              <w:rPr>
                <w:rFonts w:hint="eastAsia" w:ascii="仿宋_GB2312" w:hAnsi="仿宋_GB2312" w:eastAsia="仿宋_GB2312" w:cs="仿宋_GB2312"/>
                <w:color w:val="000000"/>
                <w:sz w:val="20"/>
                <w:szCs w:val="20"/>
                <w:highlight w:val="none"/>
              </w:rPr>
            </w:pPr>
          </w:p>
        </w:tc>
      </w:tr>
      <w:tr w14:paraId="08F9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1075" w:type="dxa"/>
            <w:vMerge w:val="continue"/>
            <w:noWrap w:val="0"/>
            <w:vAlign w:val="center"/>
          </w:tcPr>
          <w:p w14:paraId="3329BA4D">
            <w:pPr>
              <w:widowControl/>
              <w:spacing w:line="240" w:lineRule="exact"/>
              <w:jc w:val="left"/>
              <w:rPr>
                <w:rFonts w:hint="eastAsia" w:ascii="仿宋_GB2312" w:hAnsi="仿宋_GB2312" w:eastAsia="仿宋_GB2312" w:cs="仿宋_GB2312"/>
                <w:color w:val="000000"/>
                <w:sz w:val="20"/>
                <w:szCs w:val="20"/>
                <w:highlight w:val="none"/>
              </w:rPr>
            </w:pPr>
          </w:p>
        </w:tc>
        <w:tc>
          <w:tcPr>
            <w:tcW w:w="4716" w:type="dxa"/>
            <w:gridSpan w:val="4"/>
            <w:noWrap w:val="0"/>
            <w:vAlign w:val="center"/>
          </w:tcPr>
          <w:p w14:paraId="6CD0A10E">
            <w:pPr>
              <w:widowControl/>
              <w:spacing w:line="240" w:lineRule="exact"/>
              <w:ind w:firstLine="1400" w:firstLineChars="700"/>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其他资金：</w:t>
            </w:r>
            <w:r>
              <w:rPr>
                <w:rFonts w:hint="eastAsia" w:ascii="仿宋_GB2312" w:hAnsi="仿宋_GB2312" w:eastAsia="仿宋_GB2312" w:cs="仿宋_GB2312"/>
                <w:color w:val="000000"/>
                <w:sz w:val="20"/>
                <w:szCs w:val="20"/>
                <w:highlight w:val="none"/>
                <w:lang w:val="en-US" w:eastAsia="zh-CN"/>
              </w:rPr>
              <w:t>203.28</w:t>
            </w:r>
          </w:p>
        </w:tc>
        <w:tc>
          <w:tcPr>
            <w:tcW w:w="4288" w:type="dxa"/>
            <w:gridSpan w:val="4"/>
            <w:noWrap w:val="0"/>
            <w:vAlign w:val="center"/>
          </w:tcPr>
          <w:p w14:paraId="178951BD">
            <w:pPr>
              <w:widowControl/>
              <w:spacing w:line="240" w:lineRule="exact"/>
              <w:jc w:val="left"/>
              <w:rPr>
                <w:rFonts w:hint="eastAsia" w:ascii="仿宋_GB2312" w:hAnsi="仿宋_GB2312" w:eastAsia="仿宋_GB2312" w:cs="仿宋_GB2312"/>
                <w:color w:val="000000"/>
                <w:sz w:val="20"/>
                <w:szCs w:val="20"/>
                <w:highlight w:val="none"/>
              </w:rPr>
            </w:pPr>
          </w:p>
        </w:tc>
      </w:tr>
      <w:tr w14:paraId="1301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restart"/>
            <w:noWrap w:val="0"/>
            <w:vAlign w:val="center"/>
          </w:tcPr>
          <w:p w14:paraId="0D66BB3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716" w:type="dxa"/>
            <w:gridSpan w:val="4"/>
            <w:noWrap w:val="0"/>
            <w:vAlign w:val="center"/>
          </w:tcPr>
          <w:p w14:paraId="2E8F5A7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88" w:type="dxa"/>
            <w:gridSpan w:val="4"/>
            <w:noWrap w:val="0"/>
            <w:vAlign w:val="center"/>
          </w:tcPr>
          <w:p w14:paraId="26F4892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41DA9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noWrap w:val="0"/>
            <w:vAlign w:val="center"/>
          </w:tcPr>
          <w:p w14:paraId="1ADF2320">
            <w:pPr>
              <w:widowControl/>
              <w:spacing w:line="240" w:lineRule="exact"/>
              <w:jc w:val="left"/>
              <w:rPr>
                <w:rFonts w:hint="eastAsia" w:ascii="仿宋_GB2312" w:hAnsi="仿宋_GB2312" w:eastAsia="仿宋_GB2312" w:cs="仿宋_GB2312"/>
                <w:color w:val="000000"/>
                <w:sz w:val="20"/>
                <w:szCs w:val="20"/>
                <w:highlight w:val="none"/>
              </w:rPr>
            </w:pPr>
          </w:p>
        </w:tc>
        <w:tc>
          <w:tcPr>
            <w:tcW w:w="4716" w:type="dxa"/>
            <w:gridSpan w:val="4"/>
            <w:noWrap w:val="0"/>
            <w:vAlign w:val="center"/>
          </w:tcPr>
          <w:p w14:paraId="71613A14">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任务1.抓好“污染防治攻坚战”“夏季攻势”行动。</w:t>
            </w:r>
          </w:p>
          <w:p w14:paraId="47ABD572">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任务2.持续做好水环境、大气污染防治、土壤污染防治管控工作。</w:t>
            </w:r>
          </w:p>
          <w:p w14:paraId="14AFF671">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任务3.加强项目资金监管。</w:t>
            </w:r>
          </w:p>
          <w:p w14:paraId="761EEC4F">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任务4.做好企业服务工作。　</w:t>
            </w:r>
          </w:p>
        </w:tc>
        <w:tc>
          <w:tcPr>
            <w:tcW w:w="4288" w:type="dxa"/>
            <w:gridSpan w:val="4"/>
            <w:noWrap w:val="0"/>
            <w:vAlign w:val="center"/>
          </w:tcPr>
          <w:p w14:paraId="782A239F">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1、秸秆禁烧管控工作。一是加强禁烧工作，成立工作专班，按照“属地管理”原则，依托网格化管理体系，实行乡镇干部包村，村干部包村组，组干部包农户（地块），区、乡、村、片四级巡查责任制等阻止秸秆焚烧。二是区生环委联合区纪委成立秸秆禁烧督查组，发现问题及时交办并对7起履职不到位的事件的责任人予以纪律处分。三是落实禁烧宣传工作，通过村广播、横幅、微信群以及屈原智慧乡村平台短信推送，落实“一卡一信一册”发放工作，确保宣传到位。</w:t>
            </w:r>
          </w:p>
          <w:p w14:paraId="2E165F67">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2、地表水水质达到或好于Ⅲ类水体比例。我区全年地表水水质达到或好于Ⅲ类水体比例100%。屈原自来水、磊石山两个断面均保持Ⅱ类水质，总磷浓度稳中有降，集中式饮用水水源地水质达标率100%。</w:t>
            </w:r>
          </w:p>
          <w:p w14:paraId="5454EC5C">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3、地表水水质劣Ⅴ类水体比例。我区全年地表水水质劣Ⅴ类水体比例0%，与去年同期持平。</w:t>
            </w:r>
          </w:p>
          <w:p w14:paraId="6F77C64C">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4、《2025年全省大气污染防治重点治理项目清单》完成情况。环境绩效提级改造任务1家，已完成；加强工业源污染防治。重点行业企业提标（达标）改造清单（VOCs提标改造）任务2家已完成；锅炉淘汰任务方面，已完成全部9台10蒸吨/小时及以下燃煤锅炉和热风炉淘汰任务，18台2蒸吨/小时及以下生物质锅炉已淘汰注销18台；加油站三次油气回收治理任务1家，其建设内容由市公司统一安排组织实施，已完成安装。</w:t>
            </w:r>
          </w:p>
          <w:p w14:paraId="000CC9E7">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5、行政区内污水处理厂进水生化需氧量平均浓度82.6毫克／升。</w:t>
            </w:r>
          </w:p>
          <w:p w14:paraId="08513B76">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6、2025年已完成行政村农村环境整治1个，占年度任务100%。今年我区无农村黑臭水体治理任务。</w:t>
            </w:r>
          </w:p>
          <w:p w14:paraId="58D01BEC">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7、生态环境损害赔偿开展情况。2025年启动生态环境损害赔偿案3件，办结3件，结案率100%。</w:t>
            </w:r>
          </w:p>
          <w:p w14:paraId="2CA9AB60">
            <w:pPr>
              <w:rPr>
                <w:rFonts w:hint="default" w:ascii="仿宋_GB2312" w:hAnsi="仿宋_GB2312" w:eastAsia="仿宋_GB2312" w:cs="仿宋_GB2312"/>
                <w:color w:val="000000"/>
                <w:kern w:val="0"/>
                <w:sz w:val="20"/>
                <w:szCs w:val="20"/>
                <w:highlight w:val="none"/>
                <w:lang w:val="en-US" w:eastAsia="zh-CN" w:bidi="ar-SA"/>
              </w:rPr>
            </w:pPr>
          </w:p>
        </w:tc>
      </w:tr>
      <w:tr w14:paraId="55EE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restart"/>
            <w:noWrap w:val="0"/>
            <w:vAlign w:val="center"/>
          </w:tcPr>
          <w:p w14:paraId="3FF3BEC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7F9556C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5A3A19B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38A84DF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14:paraId="101148EA">
            <w:pPr>
              <w:widowControl/>
              <w:spacing w:line="240" w:lineRule="exact"/>
              <w:jc w:val="center"/>
              <w:rPr>
                <w:rFonts w:hint="eastAsia" w:ascii="仿宋_GB2312" w:hAnsi="仿宋_GB2312" w:eastAsia="仿宋_GB2312" w:cs="仿宋_GB2312"/>
                <w:color w:val="000000"/>
                <w:sz w:val="20"/>
                <w:szCs w:val="20"/>
                <w:highlight w:val="none"/>
              </w:rPr>
            </w:pPr>
          </w:p>
        </w:tc>
        <w:tc>
          <w:tcPr>
            <w:tcW w:w="1097" w:type="dxa"/>
            <w:noWrap w:val="0"/>
            <w:vAlign w:val="center"/>
          </w:tcPr>
          <w:p w14:paraId="3DF5C64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137" w:type="dxa"/>
            <w:noWrap w:val="0"/>
            <w:vAlign w:val="center"/>
          </w:tcPr>
          <w:p w14:paraId="1B00B18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74" w:type="dxa"/>
            <w:noWrap w:val="0"/>
            <w:vAlign w:val="center"/>
          </w:tcPr>
          <w:p w14:paraId="5B01C28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208" w:type="dxa"/>
            <w:noWrap w:val="0"/>
            <w:vAlign w:val="center"/>
          </w:tcPr>
          <w:p w14:paraId="7C453060">
            <w:pPr>
              <w:widowControl/>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686" w:type="dxa"/>
            <w:noWrap w:val="0"/>
            <w:vAlign w:val="center"/>
          </w:tcPr>
          <w:p w14:paraId="73C4C3B7">
            <w:pPr>
              <w:widowControl/>
              <w:spacing w:line="240" w:lineRule="exac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690" w:type="dxa"/>
            <w:noWrap w:val="0"/>
            <w:vAlign w:val="center"/>
          </w:tcPr>
          <w:p w14:paraId="2BDE3F6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37" w:type="dxa"/>
            <w:noWrap w:val="0"/>
            <w:vAlign w:val="center"/>
          </w:tcPr>
          <w:p w14:paraId="6E1346B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075" w:type="dxa"/>
            <w:noWrap w:val="0"/>
            <w:vAlign w:val="center"/>
          </w:tcPr>
          <w:p w14:paraId="512C46DA">
            <w:pPr>
              <w:widowControl/>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1982E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5" w:type="dxa"/>
            <w:vMerge w:val="continue"/>
            <w:noWrap w:val="0"/>
            <w:vAlign w:val="center"/>
          </w:tcPr>
          <w:p w14:paraId="0E40FA2E">
            <w:pPr>
              <w:spacing w:line="240" w:lineRule="exact"/>
              <w:jc w:val="left"/>
              <w:rPr>
                <w:rFonts w:hint="eastAsia" w:ascii="仿宋_GB2312" w:hAnsi="仿宋_GB2312" w:eastAsia="仿宋_GB2312" w:cs="仿宋_GB2312"/>
                <w:color w:val="000000"/>
                <w:sz w:val="20"/>
                <w:szCs w:val="20"/>
                <w:highlight w:val="none"/>
              </w:rPr>
            </w:pPr>
          </w:p>
        </w:tc>
        <w:tc>
          <w:tcPr>
            <w:tcW w:w="1097" w:type="dxa"/>
            <w:vMerge w:val="restart"/>
            <w:noWrap w:val="0"/>
            <w:vAlign w:val="center"/>
          </w:tcPr>
          <w:p w14:paraId="3CFACDB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28D4B3A5">
            <w:pPr>
              <w:widowControl/>
              <w:spacing w:line="240" w:lineRule="exact"/>
              <w:jc w:val="center"/>
              <w:rPr>
                <w:rFonts w:hint="eastAsia" w:ascii="仿宋_GB2312" w:hAnsi="仿宋_GB2312" w:eastAsia="仿宋_GB2312" w:cs="仿宋_GB2312"/>
                <w:color w:val="000000"/>
                <w:sz w:val="20"/>
                <w:szCs w:val="20"/>
                <w:highlight w:val="none"/>
              </w:rPr>
            </w:pPr>
          </w:p>
          <w:p w14:paraId="47E58A5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default" w:ascii="仿宋_GB2312" w:hAnsi="仿宋_GB2312" w:eastAsia="仿宋_GB2312" w:cs="仿宋_GB2312"/>
                <w:color w:val="000000"/>
                <w:sz w:val="20"/>
                <w:szCs w:val="20"/>
                <w:highlight w:val="none"/>
                <w:lang w:eastAsia="zh-CN"/>
              </w:rPr>
              <w:t>20</w:t>
            </w:r>
            <w:r>
              <w:rPr>
                <w:rFonts w:hint="eastAsia" w:ascii="仿宋_GB2312" w:hAnsi="仿宋_GB2312" w:eastAsia="仿宋_GB2312" w:cs="仿宋_GB2312"/>
                <w:color w:val="000000"/>
                <w:sz w:val="20"/>
                <w:szCs w:val="20"/>
                <w:highlight w:val="none"/>
              </w:rPr>
              <w:t>分)</w:t>
            </w:r>
          </w:p>
        </w:tc>
        <w:tc>
          <w:tcPr>
            <w:tcW w:w="1137" w:type="dxa"/>
            <w:vMerge w:val="restart"/>
            <w:noWrap w:val="0"/>
            <w:vAlign w:val="center"/>
          </w:tcPr>
          <w:p w14:paraId="4A94E6F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74" w:type="dxa"/>
            <w:noWrap w:val="0"/>
            <w:vAlign w:val="center"/>
          </w:tcPr>
          <w:p w14:paraId="54664116">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完成罚没款征缴任务</w:t>
            </w:r>
          </w:p>
        </w:tc>
        <w:tc>
          <w:tcPr>
            <w:tcW w:w="1208" w:type="dxa"/>
            <w:noWrap w:val="0"/>
            <w:vAlign w:val="center"/>
          </w:tcPr>
          <w:p w14:paraId="4E65C0E7">
            <w:pPr>
              <w:widowControl/>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≥12万元</w:t>
            </w:r>
          </w:p>
        </w:tc>
        <w:tc>
          <w:tcPr>
            <w:tcW w:w="1686" w:type="dxa"/>
            <w:noWrap w:val="0"/>
            <w:vAlign w:val="center"/>
          </w:tcPr>
          <w:p w14:paraId="0EE649D6">
            <w:pPr>
              <w:widowControl/>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100%</w:t>
            </w:r>
          </w:p>
        </w:tc>
        <w:tc>
          <w:tcPr>
            <w:tcW w:w="690" w:type="dxa"/>
            <w:noWrap w:val="0"/>
            <w:vAlign w:val="center"/>
          </w:tcPr>
          <w:p w14:paraId="21E06293">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5</w:t>
            </w:r>
          </w:p>
        </w:tc>
        <w:tc>
          <w:tcPr>
            <w:tcW w:w="837" w:type="dxa"/>
            <w:noWrap w:val="0"/>
            <w:vAlign w:val="center"/>
          </w:tcPr>
          <w:p w14:paraId="0058D359">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5</w:t>
            </w:r>
          </w:p>
        </w:tc>
        <w:tc>
          <w:tcPr>
            <w:tcW w:w="1075" w:type="dxa"/>
            <w:noWrap w:val="0"/>
            <w:vAlign w:val="center"/>
          </w:tcPr>
          <w:p w14:paraId="41C49E6E">
            <w:pPr>
              <w:widowControl/>
              <w:spacing w:line="240" w:lineRule="exact"/>
              <w:jc w:val="center"/>
              <w:rPr>
                <w:rFonts w:hint="eastAsia" w:ascii="仿宋_GB2312" w:hAnsi="仿宋_GB2312" w:eastAsia="仿宋_GB2312" w:cs="仿宋_GB2312"/>
                <w:color w:val="000000"/>
                <w:kern w:val="0"/>
                <w:sz w:val="20"/>
                <w:szCs w:val="20"/>
                <w:lang w:val="en-US" w:eastAsia="zh-CN" w:bidi="ar-SA"/>
              </w:rPr>
            </w:pPr>
          </w:p>
        </w:tc>
      </w:tr>
      <w:tr w14:paraId="652B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noWrap w:val="0"/>
            <w:vAlign w:val="center"/>
          </w:tcPr>
          <w:p w14:paraId="6F910EEE">
            <w:pPr>
              <w:spacing w:line="240" w:lineRule="exact"/>
              <w:jc w:val="left"/>
              <w:rPr>
                <w:rFonts w:hint="eastAsia" w:ascii="仿宋_GB2312" w:hAnsi="仿宋_GB2312" w:eastAsia="仿宋_GB2312" w:cs="仿宋_GB2312"/>
                <w:color w:val="000000"/>
                <w:sz w:val="20"/>
                <w:szCs w:val="20"/>
                <w:highlight w:val="none"/>
              </w:rPr>
            </w:pPr>
          </w:p>
        </w:tc>
        <w:tc>
          <w:tcPr>
            <w:tcW w:w="1097" w:type="dxa"/>
            <w:vMerge w:val="continue"/>
            <w:noWrap w:val="0"/>
            <w:vAlign w:val="center"/>
          </w:tcPr>
          <w:p w14:paraId="5DC9894F">
            <w:pPr>
              <w:spacing w:line="240" w:lineRule="exact"/>
              <w:jc w:val="left"/>
              <w:rPr>
                <w:rFonts w:hint="eastAsia" w:ascii="仿宋_GB2312" w:hAnsi="仿宋_GB2312" w:eastAsia="仿宋_GB2312" w:cs="仿宋_GB2312"/>
                <w:color w:val="000000"/>
                <w:sz w:val="20"/>
                <w:szCs w:val="20"/>
                <w:highlight w:val="none"/>
              </w:rPr>
            </w:pPr>
          </w:p>
        </w:tc>
        <w:tc>
          <w:tcPr>
            <w:tcW w:w="1137" w:type="dxa"/>
            <w:vMerge w:val="continue"/>
            <w:noWrap w:val="0"/>
            <w:vAlign w:val="center"/>
          </w:tcPr>
          <w:p w14:paraId="2D3EF9CF">
            <w:pPr>
              <w:spacing w:line="240" w:lineRule="exact"/>
              <w:jc w:val="center"/>
              <w:rPr>
                <w:rFonts w:hint="eastAsia" w:ascii="仿宋_GB2312" w:hAnsi="仿宋_GB2312" w:eastAsia="仿宋_GB2312" w:cs="仿宋_GB2312"/>
                <w:color w:val="000000"/>
                <w:sz w:val="20"/>
                <w:szCs w:val="20"/>
                <w:highlight w:val="none"/>
              </w:rPr>
            </w:pPr>
          </w:p>
        </w:tc>
        <w:tc>
          <w:tcPr>
            <w:tcW w:w="1274" w:type="dxa"/>
            <w:noWrap w:val="0"/>
            <w:vAlign w:val="center"/>
          </w:tcPr>
          <w:p w14:paraId="71408297">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highlight w:val="none"/>
                <w:lang w:eastAsia="zh-CN"/>
              </w:rPr>
              <w:t>重点监测重点污染企业</w:t>
            </w:r>
          </w:p>
        </w:tc>
        <w:tc>
          <w:tcPr>
            <w:tcW w:w="1208" w:type="dxa"/>
            <w:noWrap w:val="0"/>
            <w:vAlign w:val="center"/>
          </w:tcPr>
          <w:p w14:paraId="4AB24326">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lang w:val="en-US" w:eastAsia="zh-CN"/>
              </w:rPr>
              <w:t>≥4</w:t>
            </w:r>
          </w:p>
        </w:tc>
        <w:tc>
          <w:tcPr>
            <w:tcW w:w="1686" w:type="dxa"/>
            <w:noWrap w:val="0"/>
            <w:vAlign w:val="center"/>
          </w:tcPr>
          <w:p w14:paraId="66177DE4">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100%</w:t>
            </w:r>
          </w:p>
        </w:tc>
        <w:tc>
          <w:tcPr>
            <w:tcW w:w="690" w:type="dxa"/>
            <w:noWrap w:val="0"/>
            <w:vAlign w:val="center"/>
          </w:tcPr>
          <w:p w14:paraId="68EC4577">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5</w:t>
            </w:r>
          </w:p>
        </w:tc>
        <w:tc>
          <w:tcPr>
            <w:tcW w:w="837" w:type="dxa"/>
            <w:noWrap w:val="0"/>
            <w:vAlign w:val="center"/>
          </w:tcPr>
          <w:p w14:paraId="7BA26ADB">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5</w:t>
            </w:r>
          </w:p>
        </w:tc>
        <w:tc>
          <w:tcPr>
            <w:tcW w:w="1075" w:type="dxa"/>
            <w:noWrap w:val="0"/>
            <w:vAlign w:val="center"/>
          </w:tcPr>
          <w:p w14:paraId="4824FE76">
            <w:pPr>
              <w:widowControl/>
              <w:spacing w:line="240" w:lineRule="exact"/>
              <w:jc w:val="left"/>
              <w:rPr>
                <w:rFonts w:hint="eastAsia" w:ascii="仿宋_GB2312" w:hAnsi="仿宋_GB2312" w:eastAsia="仿宋_GB2312" w:cs="仿宋_GB2312"/>
                <w:color w:val="000000"/>
                <w:sz w:val="20"/>
                <w:szCs w:val="20"/>
                <w:highlight w:val="none"/>
              </w:rPr>
            </w:pPr>
          </w:p>
        </w:tc>
      </w:tr>
      <w:tr w14:paraId="0966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noWrap w:val="0"/>
            <w:vAlign w:val="center"/>
          </w:tcPr>
          <w:p w14:paraId="02A8308C">
            <w:pPr>
              <w:spacing w:line="240" w:lineRule="exact"/>
              <w:jc w:val="left"/>
              <w:rPr>
                <w:rFonts w:hint="eastAsia" w:ascii="仿宋_GB2312" w:hAnsi="仿宋_GB2312" w:eastAsia="仿宋_GB2312" w:cs="仿宋_GB2312"/>
                <w:color w:val="000000"/>
                <w:sz w:val="20"/>
                <w:szCs w:val="20"/>
                <w:highlight w:val="none"/>
              </w:rPr>
            </w:pPr>
          </w:p>
        </w:tc>
        <w:tc>
          <w:tcPr>
            <w:tcW w:w="1097" w:type="dxa"/>
            <w:vMerge w:val="continue"/>
            <w:noWrap w:val="0"/>
            <w:vAlign w:val="center"/>
          </w:tcPr>
          <w:p w14:paraId="75E8A1F9">
            <w:pPr>
              <w:spacing w:line="240" w:lineRule="exact"/>
              <w:jc w:val="left"/>
              <w:rPr>
                <w:rFonts w:hint="eastAsia" w:ascii="仿宋_GB2312" w:hAnsi="仿宋_GB2312" w:eastAsia="仿宋_GB2312" w:cs="仿宋_GB2312"/>
                <w:color w:val="000000"/>
                <w:sz w:val="20"/>
                <w:szCs w:val="20"/>
                <w:highlight w:val="none"/>
              </w:rPr>
            </w:pPr>
          </w:p>
        </w:tc>
        <w:tc>
          <w:tcPr>
            <w:tcW w:w="1137" w:type="dxa"/>
            <w:noWrap w:val="0"/>
            <w:vAlign w:val="center"/>
          </w:tcPr>
          <w:p w14:paraId="3A0037C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74" w:type="dxa"/>
            <w:shd w:val="clear" w:color="auto" w:fill="auto"/>
            <w:noWrap w:val="0"/>
            <w:vAlign w:val="center"/>
          </w:tcPr>
          <w:p w14:paraId="26F53F02">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highlight w:val="none"/>
                <w:lang w:eastAsia="zh-CN"/>
              </w:rPr>
              <w:t>水环境质量达标</w:t>
            </w:r>
          </w:p>
        </w:tc>
        <w:tc>
          <w:tcPr>
            <w:tcW w:w="1208" w:type="dxa"/>
            <w:shd w:val="clear" w:color="auto" w:fill="auto"/>
            <w:noWrap w:val="0"/>
            <w:vAlign w:val="center"/>
          </w:tcPr>
          <w:p w14:paraId="07C646DE">
            <w:pPr>
              <w:widowControl/>
              <w:spacing w:line="240" w:lineRule="exact"/>
              <w:ind w:firstLine="200" w:firstLineChars="100"/>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≥100%</w:t>
            </w:r>
          </w:p>
        </w:tc>
        <w:tc>
          <w:tcPr>
            <w:tcW w:w="1686" w:type="dxa"/>
            <w:shd w:val="clear" w:color="auto" w:fill="auto"/>
            <w:noWrap w:val="0"/>
            <w:vAlign w:val="center"/>
          </w:tcPr>
          <w:p w14:paraId="0F79D07B">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100%</w:t>
            </w:r>
          </w:p>
        </w:tc>
        <w:tc>
          <w:tcPr>
            <w:tcW w:w="690" w:type="dxa"/>
            <w:shd w:val="clear" w:color="auto" w:fill="auto"/>
            <w:noWrap w:val="0"/>
            <w:vAlign w:val="center"/>
          </w:tcPr>
          <w:p w14:paraId="3DC04F37">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5</w:t>
            </w:r>
          </w:p>
        </w:tc>
        <w:tc>
          <w:tcPr>
            <w:tcW w:w="837" w:type="dxa"/>
            <w:shd w:val="clear" w:color="auto" w:fill="auto"/>
            <w:noWrap w:val="0"/>
            <w:vAlign w:val="center"/>
          </w:tcPr>
          <w:p w14:paraId="58FAF839">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5</w:t>
            </w:r>
          </w:p>
        </w:tc>
        <w:tc>
          <w:tcPr>
            <w:tcW w:w="1075" w:type="dxa"/>
            <w:noWrap w:val="0"/>
            <w:vAlign w:val="center"/>
          </w:tcPr>
          <w:p w14:paraId="3BB7371A">
            <w:pPr>
              <w:widowControl/>
              <w:spacing w:line="240" w:lineRule="exact"/>
              <w:jc w:val="left"/>
              <w:rPr>
                <w:rFonts w:hint="eastAsia" w:ascii="仿宋_GB2312" w:hAnsi="仿宋_GB2312" w:eastAsia="仿宋_GB2312" w:cs="仿宋_GB2312"/>
                <w:color w:val="000000"/>
                <w:sz w:val="20"/>
                <w:szCs w:val="20"/>
                <w:highlight w:val="none"/>
                <w:lang w:val="en-US" w:eastAsia="zh-CN"/>
              </w:rPr>
            </w:pPr>
          </w:p>
        </w:tc>
      </w:tr>
      <w:tr w14:paraId="3B2A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noWrap w:val="0"/>
            <w:vAlign w:val="center"/>
          </w:tcPr>
          <w:p w14:paraId="6301F7B6">
            <w:pPr>
              <w:spacing w:line="240" w:lineRule="exact"/>
              <w:jc w:val="left"/>
              <w:rPr>
                <w:rFonts w:hint="eastAsia" w:ascii="仿宋_GB2312" w:hAnsi="仿宋_GB2312" w:eastAsia="仿宋_GB2312" w:cs="仿宋_GB2312"/>
                <w:color w:val="000000"/>
                <w:sz w:val="20"/>
                <w:szCs w:val="20"/>
                <w:highlight w:val="none"/>
              </w:rPr>
            </w:pPr>
          </w:p>
        </w:tc>
        <w:tc>
          <w:tcPr>
            <w:tcW w:w="1097" w:type="dxa"/>
            <w:vMerge w:val="continue"/>
            <w:noWrap w:val="0"/>
            <w:vAlign w:val="center"/>
          </w:tcPr>
          <w:p w14:paraId="75FCCEEE">
            <w:pPr>
              <w:spacing w:line="240" w:lineRule="exact"/>
              <w:jc w:val="left"/>
              <w:rPr>
                <w:rFonts w:hint="eastAsia" w:ascii="仿宋_GB2312" w:hAnsi="仿宋_GB2312" w:eastAsia="仿宋_GB2312" w:cs="仿宋_GB2312"/>
                <w:color w:val="000000"/>
                <w:sz w:val="20"/>
                <w:szCs w:val="20"/>
                <w:highlight w:val="none"/>
              </w:rPr>
            </w:pPr>
          </w:p>
        </w:tc>
        <w:tc>
          <w:tcPr>
            <w:tcW w:w="1137" w:type="dxa"/>
            <w:noWrap w:val="0"/>
            <w:vAlign w:val="center"/>
          </w:tcPr>
          <w:p w14:paraId="659EE2A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74" w:type="dxa"/>
            <w:shd w:val="clear" w:color="auto" w:fill="auto"/>
            <w:noWrap w:val="0"/>
            <w:vAlign w:val="center"/>
          </w:tcPr>
          <w:p w14:paraId="73581B8A">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按时完成年度总目标</w:t>
            </w:r>
          </w:p>
        </w:tc>
        <w:tc>
          <w:tcPr>
            <w:tcW w:w="1208" w:type="dxa"/>
            <w:shd w:val="clear" w:color="auto" w:fill="auto"/>
            <w:noWrap w:val="0"/>
            <w:vAlign w:val="center"/>
          </w:tcPr>
          <w:p w14:paraId="514C31B8">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202</w:t>
            </w:r>
            <w:r>
              <w:rPr>
                <w:rFonts w:hint="default" w:ascii="仿宋_GB2312" w:hAnsi="仿宋_GB2312" w:eastAsia="仿宋_GB2312" w:cs="仿宋_GB2312"/>
                <w:color w:val="000000"/>
                <w:sz w:val="20"/>
                <w:szCs w:val="20"/>
                <w:lang w:eastAsia="zh-CN"/>
              </w:rPr>
              <w:t>5</w:t>
            </w:r>
            <w:r>
              <w:rPr>
                <w:rFonts w:hint="eastAsia" w:ascii="仿宋_GB2312" w:hAnsi="仿宋_GB2312" w:eastAsia="仿宋_GB2312" w:cs="仿宋_GB2312"/>
                <w:color w:val="000000"/>
                <w:sz w:val="20"/>
                <w:szCs w:val="20"/>
              </w:rPr>
              <w:t>年</w:t>
            </w:r>
          </w:p>
        </w:tc>
        <w:tc>
          <w:tcPr>
            <w:tcW w:w="1686" w:type="dxa"/>
            <w:shd w:val="clear" w:color="auto" w:fill="auto"/>
            <w:noWrap w:val="0"/>
            <w:vAlign w:val="center"/>
          </w:tcPr>
          <w:p w14:paraId="77343E55">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202</w:t>
            </w:r>
            <w:r>
              <w:rPr>
                <w:rFonts w:hint="default" w:ascii="仿宋_GB2312" w:hAnsi="仿宋_GB2312" w:eastAsia="仿宋_GB2312" w:cs="仿宋_GB2312"/>
                <w:color w:val="000000"/>
                <w:sz w:val="20"/>
                <w:szCs w:val="20"/>
                <w:lang w:eastAsia="zh-CN"/>
              </w:rPr>
              <w:t>5</w:t>
            </w:r>
            <w:r>
              <w:rPr>
                <w:rFonts w:hint="eastAsia" w:ascii="仿宋_GB2312" w:hAnsi="仿宋_GB2312" w:eastAsia="仿宋_GB2312" w:cs="仿宋_GB2312"/>
                <w:color w:val="000000"/>
                <w:sz w:val="20"/>
                <w:szCs w:val="20"/>
              </w:rPr>
              <w:t>年</w:t>
            </w:r>
          </w:p>
        </w:tc>
        <w:tc>
          <w:tcPr>
            <w:tcW w:w="690" w:type="dxa"/>
            <w:shd w:val="clear" w:color="auto" w:fill="auto"/>
            <w:noWrap w:val="0"/>
            <w:vAlign w:val="center"/>
          </w:tcPr>
          <w:p w14:paraId="72430E31">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5</w:t>
            </w:r>
          </w:p>
        </w:tc>
        <w:tc>
          <w:tcPr>
            <w:tcW w:w="837" w:type="dxa"/>
            <w:shd w:val="clear" w:color="auto" w:fill="auto"/>
            <w:noWrap w:val="0"/>
            <w:vAlign w:val="center"/>
          </w:tcPr>
          <w:p w14:paraId="63335076">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5</w:t>
            </w:r>
          </w:p>
        </w:tc>
        <w:tc>
          <w:tcPr>
            <w:tcW w:w="1075" w:type="dxa"/>
            <w:noWrap w:val="0"/>
            <w:vAlign w:val="center"/>
          </w:tcPr>
          <w:p w14:paraId="3DC412EC">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p w14:paraId="2F3DE5C5">
            <w:pPr>
              <w:widowControl/>
              <w:spacing w:line="240" w:lineRule="exact"/>
              <w:jc w:val="left"/>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　</w:t>
            </w:r>
          </w:p>
        </w:tc>
      </w:tr>
      <w:tr w14:paraId="250B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noWrap w:val="0"/>
            <w:vAlign w:val="center"/>
          </w:tcPr>
          <w:p w14:paraId="5969961A">
            <w:pPr>
              <w:spacing w:line="240" w:lineRule="exact"/>
              <w:jc w:val="left"/>
              <w:rPr>
                <w:rFonts w:hint="eastAsia" w:ascii="仿宋_GB2312" w:hAnsi="仿宋_GB2312" w:eastAsia="仿宋_GB2312" w:cs="仿宋_GB2312"/>
                <w:color w:val="000000"/>
                <w:sz w:val="20"/>
                <w:szCs w:val="20"/>
                <w:highlight w:val="none"/>
              </w:rPr>
            </w:pPr>
          </w:p>
        </w:tc>
        <w:tc>
          <w:tcPr>
            <w:tcW w:w="1097" w:type="dxa"/>
            <w:vMerge w:val="restart"/>
            <w:noWrap w:val="0"/>
            <w:vAlign w:val="center"/>
          </w:tcPr>
          <w:p w14:paraId="5159697A">
            <w:pPr>
              <w:widowControl/>
              <w:spacing w:line="240" w:lineRule="exact"/>
              <w:jc w:val="left"/>
              <w:rPr>
                <w:rFonts w:hint="eastAsia" w:ascii="仿宋_GB2312" w:hAnsi="仿宋_GB2312" w:eastAsia="仿宋_GB2312" w:cs="仿宋_GB2312"/>
                <w:color w:val="000000"/>
                <w:sz w:val="20"/>
                <w:szCs w:val="20"/>
                <w:highlight w:val="none"/>
              </w:rPr>
            </w:pPr>
            <w:bookmarkStart w:id="1" w:name="OLE_LINK4"/>
            <w:r>
              <w:rPr>
                <w:rFonts w:hint="eastAsia" w:ascii="仿宋_GB2312" w:hAnsi="仿宋_GB2312" w:eastAsia="仿宋_GB2312" w:cs="仿宋_GB2312"/>
                <w:color w:val="000000"/>
                <w:sz w:val="20"/>
                <w:szCs w:val="20"/>
                <w:highlight w:val="none"/>
              </w:rPr>
              <w:t>效益指标</w:t>
            </w:r>
          </w:p>
          <w:p w14:paraId="5E75818F">
            <w:pPr>
              <w:widowControl/>
              <w:spacing w:line="240" w:lineRule="exact"/>
              <w:jc w:val="left"/>
              <w:rPr>
                <w:rFonts w:hint="eastAsia" w:ascii="仿宋_GB2312" w:hAnsi="仿宋_GB2312" w:eastAsia="仿宋_GB2312" w:cs="仿宋_GB2312"/>
                <w:color w:val="000000"/>
                <w:sz w:val="20"/>
                <w:szCs w:val="20"/>
                <w:highlight w:val="none"/>
              </w:rPr>
            </w:pPr>
          </w:p>
          <w:p w14:paraId="4CCAB0E0">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30</w:t>
            </w:r>
            <w:r>
              <w:rPr>
                <w:rFonts w:hint="eastAsia" w:ascii="仿宋_GB2312" w:hAnsi="仿宋_GB2312" w:eastAsia="仿宋_GB2312" w:cs="仿宋_GB2312"/>
                <w:color w:val="000000"/>
                <w:sz w:val="20"/>
                <w:szCs w:val="20"/>
                <w:highlight w:val="none"/>
              </w:rPr>
              <w:t>分）</w:t>
            </w:r>
          </w:p>
          <w:bookmarkEnd w:id="1"/>
          <w:p w14:paraId="4D4EE844">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7" w:type="dxa"/>
            <w:noWrap w:val="0"/>
            <w:vAlign w:val="center"/>
          </w:tcPr>
          <w:p w14:paraId="09303E36">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经济效益指标</w:t>
            </w:r>
          </w:p>
        </w:tc>
        <w:tc>
          <w:tcPr>
            <w:tcW w:w="1274" w:type="dxa"/>
            <w:noWrap w:val="0"/>
            <w:vAlign w:val="center"/>
          </w:tcPr>
          <w:p w14:paraId="03E1BECD">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促进经济发展</w:t>
            </w:r>
          </w:p>
        </w:tc>
        <w:tc>
          <w:tcPr>
            <w:tcW w:w="1208" w:type="dxa"/>
            <w:noWrap w:val="0"/>
            <w:vAlign w:val="center"/>
          </w:tcPr>
          <w:p w14:paraId="4C9824D0">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经济平稳发展</w:t>
            </w:r>
          </w:p>
        </w:tc>
        <w:tc>
          <w:tcPr>
            <w:tcW w:w="1686" w:type="dxa"/>
            <w:noWrap w:val="0"/>
            <w:vAlign w:val="center"/>
          </w:tcPr>
          <w:p w14:paraId="437F20FB">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经济平稳发展</w:t>
            </w:r>
          </w:p>
        </w:tc>
        <w:tc>
          <w:tcPr>
            <w:tcW w:w="690" w:type="dxa"/>
            <w:shd w:val="clear" w:color="auto" w:fill="auto"/>
            <w:noWrap w:val="0"/>
            <w:vAlign w:val="center"/>
          </w:tcPr>
          <w:p w14:paraId="59800B59">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5</w:t>
            </w:r>
          </w:p>
        </w:tc>
        <w:tc>
          <w:tcPr>
            <w:tcW w:w="837" w:type="dxa"/>
            <w:noWrap w:val="0"/>
            <w:vAlign w:val="center"/>
          </w:tcPr>
          <w:p w14:paraId="3094A763">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5</w:t>
            </w:r>
          </w:p>
        </w:tc>
        <w:tc>
          <w:tcPr>
            <w:tcW w:w="1075" w:type="dxa"/>
            <w:noWrap w:val="0"/>
            <w:vAlign w:val="center"/>
          </w:tcPr>
          <w:p w14:paraId="7C31091A">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3A34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noWrap w:val="0"/>
            <w:vAlign w:val="center"/>
          </w:tcPr>
          <w:p w14:paraId="2883E6E7">
            <w:pPr>
              <w:spacing w:line="240" w:lineRule="exact"/>
              <w:jc w:val="left"/>
              <w:rPr>
                <w:rFonts w:hint="eastAsia" w:ascii="仿宋_GB2312" w:hAnsi="仿宋_GB2312" w:eastAsia="仿宋_GB2312" w:cs="仿宋_GB2312"/>
                <w:color w:val="000000"/>
                <w:sz w:val="20"/>
                <w:szCs w:val="20"/>
                <w:highlight w:val="none"/>
              </w:rPr>
            </w:pPr>
          </w:p>
        </w:tc>
        <w:tc>
          <w:tcPr>
            <w:tcW w:w="1097" w:type="dxa"/>
            <w:vMerge w:val="continue"/>
            <w:noWrap w:val="0"/>
            <w:vAlign w:val="center"/>
          </w:tcPr>
          <w:p w14:paraId="7E0F909B">
            <w:pPr>
              <w:spacing w:line="240" w:lineRule="exact"/>
              <w:jc w:val="left"/>
              <w:rPr>
                <w:rFonts w:hint="eastAsia" w:ascii="仿宋_GB2312" w:hAnsi="仿宋_GB2312" w:eastAsia="仿宋_GB2312" w:cs="仿宋_GB2312"/>
                <w:color w:val="000000"/>
                <w:sz w:val="20"/>
                <w:szCs w:val="20"/>
                <w:highlight w:val="none"/>
              </w:rPr>
            </w:pPr>
          </w:p>
        </w:tc>
        <w:tc>
          <w:tcPr>
            <w:tcW w:w="1137" w:type="dxa"/>
            <w:noWrap w:val="0"/>
            <w:vAlign w:val="center"/>
          </w:tcPr>
          <w:p w14:paraId="4F13A5A0">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社会效益指标</w:t>
            </w:r>
          </w:p>
        </w:tc>
        <w:tc>
          <w:tcPr>
            <w:tcW w:w="1274" w:type="dxa"/>
            <w:noWrap w:val="0"/>
            <w:vAlign w:val="center"/>
          </w:tcPr>
          <w:p w14:paraId="719A644F">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改善居民生产、生活环境，提升幸福生活指数</w:t>
            </w:r>
          </w:p>
        </w:tc>
        <w:tc>
          <w:tcPr>
            <w:tcW w:w="1208" w:type="dxa"/>
            <w:noWrap w:val="0"/>
            <w:vAlign w:val="center"/>
          </w:tcPr>
          <w:p w14:paraId="274D7881">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有所改善</w:t>
            </w:r>
          </w:p>
        </w:tc>
        <w:tc>
          <w:tcPr>
            <w:tcW w:w="1686" w:type="dxa"/>
            <w:noWrap w:val="0"/>
            <w:vAlign w:val="center"/>
          </w:tcPr>
          <w:p w14:paraId="5387109A">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有所改善</w:t>
            </w:r>
          </w:p>
        </w:tc>
        <w:tc>
          <w:tcPr>
            <w:tcW w:w="690" w:type="dxa"/>
            <w:shd w:val="clear" w:color="auto" w:fill="auto"/>
            <w:noWrap w:val="0"/>
            <w:vAlign w:val="center"/>
          </w:tcPr>
          <w:p w14:paraId="4D65A48E">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5</w:t>
            </w:r>
          </w:p>
        </w:tc>
        <w:tc>
          <w:tcPr>
            <w:tcW w:w="837" w:type="dxa"/>
            <w:noWrap w:val="0"/>
            <w:vAlign w:val="center"/>
          </w:tcPr>
          <w:p w14:paraId="12313EC4">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5</w:t>
            </w:r>
          </w:p>
        </w:tc>
        <w:tc>
          <w:tcPr>
            <w:tcW w:w="1075" w:type="dxa"/>
            <w:noWrap w:val="0"/>
            <w:vAlign w:val="center"/>
          </w:tcPr>
          <w:p w14:paraId="5D1F476B">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084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noWrap w:val="0"/>
            <w:vAlign w:val="center"/>
          </w:tcPr>
          <w:p w14:paraId="2E0A631D">
            <w:pPr>
              <w:spacing w:line="240" w:lineRule="exact"/>
              <w:jc w:val="left"/>
              <w:rPr>
                <w:rFonts w:hint="eastAsia" w:ascii="仿宋_GB2312" w:hAnsi="仿宋_GB2312" w:eastAsia="仿宋_GB2312" w:cs="仿宋_GB2312"/>
                <w:color w:val="000000"/>
                <w:sz w:val="20"/>
                <w:szCs w:val="20"/>
                <w:highlight w:val="none"/>
              </w:rPr>
            </w:pPr>
          </w:p>
        </w:tc>
        <w:tc>
          <w:tcPr>
            <w:tcW w:w="1097" w:type="dxa"/>
            <w:vMerge w:val="continue"/>
            <w:noWrap w:val="0"/>
            <w:vAlign w:val="center"/>
          </w:tcPr>
          <w:p w14:paraId="396EE623">
            <w:pPr>
              <w:spacing w:line="240" w:lineRule="exact"/>
              <w:jc w:val="left"/>
              <w:rPr>
                <w:rFonts w:hint="eastAsia" w:ascii="仿宋_GB2312" w:hAnsi="仿宋_GB2312" w:eastAsia="仿宋_GB2312" w:cs="仿宋_GB2312"/>
                <w:color w:val="000000"/>
                <w:sz w:val="20"/>
                <w:szCs w:val="20"/>
                <w:highlight w:val="none"/>
              </w:rPr>
            </w:pPr>
          </w:p>
        </w:tc>
        <w:tc>
          <w:tcPr>
            <w:tcW w:w="1137" w:type="dxa"/>
            <w:noWrap w:val="0"/>
            <w:vAlign w:val="center"/>
          </w:tcPr>
          <w:p w14:paraId="5C43D71D">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生态效益指标</w:t>
            </w:r>
          </w:p>
        </w:tc>
        <w:tc>
          <w:tcPr>
            <w:tcW w:w="1274" w:type="dxa"/>
            <w:noWrap w:val="0"/>
            <w:vAlign w:val="center"/>
          </w:tcPr>
          <w:p w14:paraId="38E37335">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治理重点污染源企业</w:t>
            </w:r>
          </w:p>
        </w:tc>
        <w:tc>
          <w:tcPr>
            <w:tcW w:w="1208" w:type="dxa"/>
            <w:noWrap w:val="0"/>
            <w:vAlign w:val="center"/>
          </w:tcPr>
          <w:p w14:paraId="2269C8E3">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有所改善</w:t>
            </w:r>
          </w:p>
        </w:tc>
        <w:tc>
          <w:tcPr>
            <w:tcW w:w="1686" w:type="dxa"/>
            <w:noWrap w:val="0"/>
            <w:vAlign w:val="center"/>
          </w:tcPr>
          <w:p w14:paraId="53A45152">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有所改善</w:t>
            </w:r>
          </w:p>
        </w:tc>
        <w:tc>
          <w:tcPr>
            <w:tcW w:w="690" w:type="dxa"/>
            <w:shd w:val="clear" w:color="auto" w:fill="auto"/>
            <w:noWrap w:val="0"/>
            <w:vAlign w:val="center"/>
          </w:tcPr>
          <w:p w14:paraId="493A0AE8">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10</w:t>
            </w:r>
          </w:p>
        </w:tc>
        <w:tc>
          <w:tcPr>
            <w:tcW w:w="837" w:type="dxa"/>
            <w:noWrap w:val="0"/>
            <w:vAlign w:val="center"/>
          </w:tcPr>
          <w:p w14:paraId="2CAB5EAC">
            <w:pPr>
              <w:widowControl/>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10</w:t>
            </w:r>
          </w:p>
        </w:tc>
        <w:tc>
          <w:tcPr>
            <w:tcW w:w="1075" w:type="dxa"/>
            <w:noWrap w:val="0"/>
            <w:vAlign w:val="center"/>
          </w:tcPr>
          <w:p w14:paraId="37FAC9B9">
            <w:pPr>
              <w:widowControl/>
              <w:spacing w:line="240" w:lineRule="exact"/>
              <w:jc w:val="left"/>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　</w:t>
            </w:r>
          </w:p>
        </w:tc>
      </w:tr>
      <w:tr w14:paraId="4197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75" w:type="dxa"/>
            <w:vMerge w:val="continue"/>
            <w:noWrap w:val="0"/>
            <w:vAlign w:val="center"/>
          </w:tcPr>
          <w:p w14:paraId="4C47E368">
            <w:pPr>
              <w:widowControl/>
              <w:spacing w:line="240" w:lineRule="exact"/>
              <w:jc w:val="center"/>
              <w:rPr>
                <w:rFonts w:hint="eastAsia" w:ascii="仿宋_GB2312" w:hAnsi="仿宋_GB2312" w:eastAsia="仿宋_GB2312" w:cs="仿宋_GB2312"/>
                <w:color w:val="000000"/>
                <w:sz w:val="20"/>
                <w:szCs w:val="20"/>
                <w:highlight w:val="none"/>
              </w:rPr>
            </w:pPr>
            <w:bookmarkStart w:id="2" w:name="OLE_LINK2" w:colFirst="6" w:colLast="7"/>
          </w:p>
        </w:tc>
        <w:tc>
          <w:tcPr>
            <w:tcW w:w="1097" w:type="dxa"/>
            <w:vMerge w:val="continue"/>
            <w:noWrap w:val="0"/>
            <w:vAlign w:val="center"/>
          </w:tcPr>
          <w:p w14:paraId="27FF00FB">
            <w:pPr>
              <w:widowControl/>
              <w:spacing w:line="240" w:lineRule="exact"/>
              <w:jc w:val="left"/>
              <w:rPr>
                <w:rFonts w:hint="eastAsia" w:ascii="仿宋_GB2312" w:hAnsi="仿宋_GB2312" w:eastAsia="仿宋_GB2312" w:cs="仿宋_GB2312"/>
                <w:color w:val="000000"/>
                <w:sz w:val="20"/>
                <w:szCs w:val="20"/>
                <w:highlight w:val="none"/>
              </w:rPr>
            </w:pPr>
          </w:p>
        </w:tc>
        <w:tc>
          <w:tcPr>
            <w:tcW w:w="1137" w:type="dxa"/>
            <w:noWrap w:val="0"/>
            <w:vAlign w:val="center"/>
          </w:tcPr>
          <w:p w14:paraId="0CCD994C">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可持续影响指标</w:t>
            </w:r>
          </w:p>
        </w:tc>
        <w:tc>
          <w:tcPr>
            <w:tcW w:w="1274" w:type="dxa"/>
            <w:shd w:val="clear" w:color="auto" w:fill="auto"/>
            <w:noWrap w:val="0"/>
            <w:vAlign w:val="center"/>
          </w:tcPr>
          <w:p w14:paraId="1737B67F">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环境、经济、社会可持续发展</w:t>
            </w:r>
          </w:p>
        </w:tc>
        <w:tc>
          <w:tcPr>
            <w:tcW w:w="1208" w:type="dxa"/>
            <w:shd w:val="clear" w:color="auto" w:fill="auto"/>
            <w:noWrap w:val="0"/>
            <w:vAlign w:val="center"/>
          </w:tcPr>
          <w:p w14:paraId="44206567">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有所改善</w:t>
            </w:r>
          </w:p>
        </w:tc>
        <w:tc>
          <w:tcPr>
            <w:tcW w:w="1686" w:type="dxa"/>
            <w:shd w:val="clear" w:color="auto" w:fill="auto"/>
            <w:noWrap w:val="0"/>
            <w:vAlign w:val="center"/>
          </w:tcPr>
          <w:p w14:paraId="30FD54D1">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有所改善</w:t>
            </w:r>
          </w:p>
        </w:tc>
        <w:tc>
          <w:tcPr>
            <w:tcW w:w="690" w:type="dxa"/>
            <w:noWrap w:val="0"/>
            <w:vAlign w:val="center"/>
          </w:tcPr>
          <w:p w14:paraId="4505966D">
            <w:pPr>
              <w:widowControl/>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837" w:type="dxa"/>
            <w:noWrap w:val="0"/>
            <w:vAlign w:val="center"/>
          </w:tcPr>
          <w:p w14:paraId="135D1C15">
            <w:pPr>
              <w:widowControl/>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1075" w:type="dxa"/>
            <w:noWrap w:val="0"/>
            <w:vAlign w:val="center"/>
          </w:tcPr>
          <w:p w14:paraId="5D65FC00">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bookmarkEnd w:id="2"/>
      <w:tr w14:paraId="74A7D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75" w:type="dxa"/>
            <w:vMerge w:val="continue"/>
            <w:noWrap w:val="0"/>
            <w:vAlign w:val="center"/>
          </w:tcPr>
          <w:p w14:paraId="5A3D2E02">
            <w:pPr>
              <w:spacing w:line="240" w:lineRule="exact"/>
              <w:jc w:val="left"/>
              <w:rPr>
                <w:rFonts w:hint="eastAsia" w:ascii="仿宋_GB2312" w:hAnsi="仿宋_GB2312" w:eastAsia="仿宋_GB2312" w:cs="仿宋_GB2312"/>
                <w:color w:val="000000"/>
                <w:sz w:val="20"/>
                <w:szCs w:val="20"/>
                <w:highlight w:val="none"/>
              </w:rPr>
            </w:pPr>
          </w:p>
        </w:tc>
        <w:tc>
          <w:tcPr>
            <w:tcW w:w="1097" w:type="dxa"/>
            <w:vMerge w:val="restart"/>
            <w:noWrap w:val="0"/>
            <w:vAlign w:val="center"/>
          </w:tcPr>
          <w:p w14:paraId="337435A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p w14:paraId="06138B07">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30</w:t>
            </w:r>
            <w:r>
              <w:rPr>
                <w:rFonts w:hint="eastAsia" w:ascii="仿宋_GB2312" w:hAnsi="仿宋_GB2312" w:eastAsia="仿宋_GB2312" w:cs="仿宋_GB2312"/>
                <w:color w:val="000000"/>
                <w:sz w:val="20"/>
                <w:szCs w:val="20"/>
                <w:highlight w:val="none"/>
              </w:rPr>
              <w:t>分）</w:t>
            </w:r>
          </w:p>
          <w:p w14:paraId="704C99E6">
            <w:pPr>
              <w:widowControl/>
              <w:spacing w:line="240" w:lineRule="exact"/>
              <w:jc w:val="center"/>
              <w:rPr>
                <w:rFonts w:hint="eastAsia" w:ascii="仿宋_GB2312" w:hAnsi="仿宋_GB2312" w:eastAsia="仿宋_GB2312" w:cs="仿宋_GB2312"/>
                <w:color w:val="000000"/>
                <w:sz w:val="20"/>
                <w:szCs w:val="20"/>
                <w:highlight w:val="none"/>
              </w:rPr>
            </w:pPr>
          </w:p>
        </w:tc>
        <w:tc>
          <w:tcPr>
            <w:tcW w:w="1137" w:type="dxa"/>
            <w:noWrap w:val="0"/>
            <w:vAlign w:val="center"/>
          </w:tcPr>
          <w:p w14:paraId="4A2B1F8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经济成本指标</w:t>
            </w:r>
          </w:p>
        </w:tc>
        <w:tc>
          <w:tcPr>
            <w:tcW w:w="1274" w:type="dxa"/>
            <w:noWrap w:val="0"/>
            <w:vAlign w:val="center"/>
          </w:tcPr>
          <w:p w14:paraId="71DA68D1">
            <w:pPr>
              <w:keepNext w:val="0"/>
              <w:keepLines w:val="0"/>
              <w:pageBreakBefore w:val="0"/>
              <w:widowControl/>
              <w:tabs>
                <w:tab w:val="left" w:pos="498"/>
              </w:tabs>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lang w:eastAsia="zh-CN"/>
              </w:rPr>
            </w:pPr>
            <w:r>
              <w:rPr>
                <w:rFonts w:hint="eastAsia" w:ascii="仿宋_GB2312" w:hAnsi="仿宋_GB2312" w:eastAsia="仿宋_GB2312" w:cs="仿宋_GB2312"/>
                <w:color w:val="000000"/>
                <w:sz w:val="20"/>
                <w:szCs w:val="20"/>
                <w:highlight w:val="none"/>
              </w:rPr>
              <w:t>预算整体支出控制在预算范围内</w:t>
            </w:r>
          </w:p>
        </w:tc>
        <w:tc>
          <w:tcPr>
            <w:tcW w:w="1208" w:type="dxa"/>
            <w:noWrap w:val="0"/>
            <w:vAlign w:val="center"/>
          </w:tcPr>
          <w:p w14:paraId="29CAEC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sz w:val="20"/>
                <w:szCs w:val="20"/>
                <w:highlight w:val="none"/>
                <w:lang w:val="en-US" w:eastAsia="zh-CN"/>
              </w:rPr>
              <w:t>≤</w:t>
            </w:r>
            <w:r>
              <w:rPr>
                <w:rFonts w:hint="default" w:ascii="仿宋_GB2312" w:hAnsi="仿宋_GB2312" w:eastAsia="仿宋_GB2312" w:cs="仿宋_GB2312"/>
                <w:sz w:val="20"/>
                <w:szCs w:val="20"/>
                <w:highlight w:val="none"/>
                <w:lang w:val="en-US" w:eastAsia="zh-CN"/>
              </w:rPr>
              <w:t>392.17</w:t>
            </w:r>
            <w:r>
              <w:rPr>
                <w:rFonts w:hint="eastAsia" w:ascii="仿宋_GB2312" w:hAnsi="仿宋_GB2312" w:eastAsia="仿宋_GB2312" w:cs="仿宋_GB2312"/>
                <w:color w:val="000000"/>
                <w:sz w:val="20"/>
                <w:szCs w:val="20"/>
                <w:highlight w:val="none"/>
                <w:lang w:val="en-US" w:eastAsia="zh-CN"/>
              </w:rPr>
              <w:t>万元</w:t>
            </w:r>
          </w:p>
        </w:tc>
        <w:tc>
          <w:tcPr>
            <w:tcW w:w="1686" w:type="dxa"/>
            <w:noWrap w:val="0"/>
            <w:vAlign w:val="center"/>
          </w:tcPr>
          <w:p w14:paraId="4F3A13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sz w:val="20"/>
                <w:szCs w:val="20"/>
                <w:highlight w:val="none"/>
                <w:lang w:val="en-US" w:eastAsia="zh-CN"/>
              </w:rPr>
              <w:t>264.84</w:t>
            </w:r>
            <w:r>
              <w:rPr>
                <w:rFonts w:hint="eastAsia" w:ascii="仿宋_GB2312" w:hAnsi="仿宋_GB2312" w:eastAsia="仿宋_GB2312" w:cs="仿宋_GB2312"/>
                <w:sz w:val="20"/>
                <w:szCs w:val="20"/>
                <w:highlight w:val="none"/>
                <w:lang w:val="en-US" w:eastAsia="zh-CN"/>
              </w:rPr>
              <w:t>万元</w:t>
            </w:r>
          </w:p>
        </w:tc>
        <w:tc>
          <w:tcPr>
            <w:tcW w:w="690" w:type="dxa"/>
            <w:noWrap w:val="0"/>
            <w:vAlign w:val="center"/>
          </w:tcPr>
          <w:p w14:paraId="6CC747F5">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837" w:type="dxa"/>
            <w:noWrap w:val="0"/>
            <w:vAlign w:val="center"/>
          </w:tcPr>
          <w:p w14:paraId="1EFA62A7">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1075" w:type="dxa"/>
            <w:noWrap w:val="0"/>
            <w:vAlign w:val="center"/>
          </w:tcPr>
          <w:p w14:paraId="0ACCB3F5">
            <w:pPr>
              <w:widowControl/>
              <w:spacing w:line="240" w:lineRule="exact"/>
              <w:jc w:val="left"/>
              <w:rPr>
                <w:rFonts w:hint="eastAsia" w:ascii="仿宋_GB2312" w:hAnsi="仿宋_GB2312" w:eastAsia="仿宋_GB2312" w:cs="仿宋_GB2312"/>
                <w:color w:val="000000"/>
                <w:sz w:val="20"/>
                <w:szCs w:val="20"/>
                <w:highlight w:val="none"/>
              </w:rPr>
            </w:pPr>
          </w:p>
        </w:tc>
      </w:tr>
      <w:tr w14:paraId="5A712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75" w:type="dxa"/>
            <w:vMerge w:val="continue"/>
            <w:noWrap w:val="0"/>
            <w:vAlign w:val="center"/>
          </w:tcPr>
          <w:p w14:paraId="45C3EE06">
            <w:pPr>
              <w:spacing w:line="240" w:lineRule="exact"/>
              <w:jc w:val="left"/>
              <w:rPr>
                <w:rFonts w:hint="eastAsia" w:ascii="仿宋_GB2312" w:hAnsi="仿宋_GB2312" w:eastAsia="仿宋_GB2312" w:cs="仿宋_GB2312"/>
                <w:color w:val="000000"/>
                <w:sz w:val="20"/>
                <w:szCs w:val="20"/>
                <w:highlight w:val="none"/>
              </w:rPr>
            </w:pPr>
          </w:p>
        </w:tc>
        <w:tc>
          <w:tcPr>
            <w:tcW w:w="1097" w:type="dxa"/>
            <w:vMerge w:val="continue"/>
            <w:noWrap w:val="0"/>
            <w:vAlign w:val="center"/>
          </w:tcPr>
          <w:p w14:paraId="0EFB861E">
            <w:pPr>
              <w:widowControl/>
              <w:spacing w:line="240" w:lineRule="exact"/>
              <w:jc w:val="center"/>
              <w:rPr>
                <w:rFonts w:hint="eastAsia" w:ascii="仿宋_GB2312" w:hAnsi="仿宋_GB2312" w:eastAsia="仿宋_GB2312" w:cs="仿宋_GB2312"/>
                <w:color w:val="000000"/>
                <w:sz w:val="20"/>
                <w:szCs w:val="20"/>
                <w:highlight w:val="none"/>
              </w:rPr>
            </w:pPr>
          </w:p>
        </w:tc>
        <w:tc>
          <w:tcPr>
            <w:tcW w:w="1137" w:type="dxa"/>
            <w:noWrap w:val="0"/>
            <w:vAlign w:val="center"/>
          </w:tcPr>
          <w:p w14:paraId="71A9836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社会成本指标</w:t>
            </w:r>
          </w:p>
        </w:tc>
        <w:tc>
          <w:tcPr>
            <w:tcW w:w="1274" w:type="dxa"/>
            <w:noWrap w:val="0"/>
            <w:vAlign w:val="center"/>
          </w:tcPr>
          <w:p w14:paraId="6D7EBD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对社会发展可能造成的影响</w:t>
            </w:r>
          </w:p>
        </w:tc>
        <w:tc>
          <w:tcPr>
            <w:tcW w:w="1208" w:type="dxa"/>
            <w:noWrap w:val="0"/>
            <w:vAlign w:val="center"/>
          </w:tcPr>
          <w:p w14:paraId="4DAEA69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w:t>
            </w:r>
          </w:p>
        </w:tc>
        <w:tc>
          <w:tcPr>
            <w:tcW w:w="1686" w:type="dxa"/>
            <w:noWrap w:val="0"/>
            <w:vAlign w:val="center"/>
          </w:tcPr>
          <w:p w14:paraId="00E01B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690" w:type="dxa"/>
            <w:noWrap w:val="0"/>
            <w:vAlign w:val="center"/>
          </w:tcPr>
          <w:p w14:paraId="33C80350">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837" w:type="dxa"/>
            <w:noWrap w:val="0"/>
            <w:vAlign w:val="center"/>
          </w:tcPr>
          <w:p w14:paraId="78DA8FD1">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1075" w:type="dxa"/>
            <w:noWrap w:val="0"/>
            <w:vAlign w:val="center"/>
          </w:tcPr>
          <w:p w14:paraId="6B0BE028">
            <w:pPr>
              <w:widowControl/>
              <w:spacing w:line="240" w:lineRule="exact"/>
              <w:jc w:val="left"/>
              <w:rPr>
                <w:rFonts w:hint="eastAsia" w:ascii="仿宋_GB2312" w:hAnsi="仿宋_GB2312" w:eastAsia="仿宋_GB2312" w:cs="仿宋_GB2312"/>
                <w:color w:val="000000"/>
                <w:sz w:val="20"/>
                <w:szCs w:val="20"/>
                <w:highlight w:val="none"/>
              </w:rPr>
            </w:pPr>
          </w:p>
        </w:tc>
      </w:tr>
      <w:tr w14:paraId="0467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75" w:type="dxa"/>
            <w:vMerge w:val="continue"/>
            <w:noWrap w:val="0"/>
            <w:vAlign w:val="center"/>
          </w:tcPr>
          <w:p w14:paraId="53E2E836">
            <w:pPr>
              <w:spacing w:line="240" w:lineRule="exact"/>
              <w:jc w:val="left"/>
              <w:rPr>
                <w:rFonts w:hint="eastAsia" w:ascii="仿宋_GB2312" w:hAnsi="仿宋_GB2312" w:eastAsia="仿宋_GB2312" w:cs="仿宋_GB2312"/>
                <w:color w:val="000000"/>
                <w:sz w:val="20"/>
                <w:szCs w:val="20"/>
                <w:highlight w:val="none"/>
              </w:rPr>
            </w:pPr>
          </w:p>
        </w:tc>
        <w:tc>
          <w:tcPr>
            <w:tcW w:w="1097" w:type="dxa"/>
            <w:vMerge w:val="continue"/>
            <w:noWrap w:val="0"/>
            <w:vAlign w:val="center"/>
          </w:tcPr>
          <w:p w14:paraId="421846F5">
            <w:pPr>
              <w:widowControl/>
              <w:spacing w:line="240" w:lineRule="exact"/>
              <w:jc w:val="center"/>
              <w:rPr>
                <w:rFonts w:hint="eastAsia" w:ascii="仿宋_GB2312" w:hAnsi="仿宋_GB2312" w:eastAsia="仿宋_GB2312" w:cs="仿宋_GB2312"/>
                <w:color w:val="000000"/>
                <w:sz w:val="20"/>
                <w:szCs w:val="20"/>
                <w:highlight w:val="none"/>
              </w:rPr>
            </w:pPr>
          </w:p>
        </w:tc>
        <w:tc>
          <w:tcPr>
            <w:tcW w:w="1137" w:type="dxa"/>
            <w:noWrap w:val="0"/>
            <w:vAlign w:val="center"/>
          </w:tcPr>
          <w:p w14:paraId="5D57E6A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生态环境成本指标</w:t>
            </w:r>
          </w:p>
        </w:tc>
        <w:tc>
          <w:tcPr>
            <w:tcW w:w="1274" w:type="dxa"/>
            <w:noWrap w:val="0"/>
            <w:vAlign w:val="center"/>
          </w:tcPr>
          <w:p w14:paraId="76E7F2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对生态环境可能造成的影响</w:t>
            </w:r>
          </w:p>
        </w:tc>
        <w:tc>
          <w:tcPr>
            <w:tcW w:w="1208" w:type="dxa"/>
            <w:noWrap w:val="0"/>
            <w:vAlign w:val="center"/>
          </w:tcPr>
          <w:p w14:paraId="796609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w:t>
            </w:r>
          </w:p>
        </w:tc>
        <w:tc>
          <w:tcPr>
            <w:tcW w:w="1686" w:type="dxa"/>
            <w:noWrap w:val="0"/>
            <w:vAlign w:val="center"/>
          </w:tcPr>
          <w:p w14:paraId="36ACBE0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690" w:type="dxa"/>
            <w:noWrap w:val="0"/>
            <w:vAlign w:val="center"/>
          </w:tcPr>
          <w:p w14:paraId="40C6B12C">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837" w:type="dxa"/>
            <w:noWrap w:val="0"/>
            <w:vAlign w:val="center"/>
          </w:tcPr>
          <w:p w14:paraId="36A51148">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1075" w:type="dxa"/>
            <w:noWrap w:val="0"/>
            <w:vAlign w:val="center"/>
          </w:tcPr>
          <w:p w14:paraId="2A1E462F">
            <w:pPr>
              <w:widowControl/>
              <w:spacing w:line="240" w:lineRule="exact"/>
              <w:jc w:val="left"/>
              <w:rPr>
                <w:rFonts w:hint="eastAsia" w:ascii="仿宋_GB2312" w:hAnsi="仿宋_GB2312" w:eastAsia="仿宋_GB2312" w:cs="仿宋_GB2312"/>
                <w:color w:val="000000"/>
                <w:sz w:val="20"/>
                <w:szCs w:val="20"/>
                <w:highlight w:val="none"/>
              </w:rPr>
            </w:pPr>
          </w:p>
        </w:tc>
      </w:tr>
      <w:tr w14:paraId="1FA3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75" w:type="dxa"/>
            <w:vMerge w:val="continue"/>
            <w:noWrap w:val="0"/>
            <w:vAlign w:val="center"/>
          </w:tcPr>
          <w:p w14:paraId="40300F13">
            <w:pPr>
              <w:spacing w:line="240" w:lineRule="exact"/>
              <w:jc w:val="left"/>
              <w:rPr>
                <w:rFonts w:hint="eastAsia" w:ascii="仿宋_GB2312" w:hAnsi="仿宋_GB2312" w:eastAsia="仿宋_GB2312" w:cs="仿宋_GB2312"/>
                <w:color w:val="000000"/>
                <w:sz w:val="20"/>
                <w:szCs w:val="20"/>
                <w:highlight w:val="none"/>
              </w:rPr>
            </w:pPr>
          </w:p>
        </w:tc>
        <w:tc>
          <w:tcPr>
            <w:tcW w:w="1097" w:type="dxa"/>
            <w:noWrap w:val="0"/>
            <w:vAlign w:val="center"/>
          </w:tcPr>
          <w:p w14:paraId="743EA96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4F80414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2A7749D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137" w:type="dxa"/>
            <w:noWrap w:val="0"/>
            <w:vAlign w:val="center"/>
          </w:tcPr>
          <w:p w14:paraId="03473EF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74" w:type="dxa"/>
            <w:noWrap w:val="0"/>
            <w:vAlign w:val="center"/>
          </w:tcPr>
          <w:p w14:paraId="1E5FBD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rPr>
              <w:t>屈原区人民群众</w:t>
            </w:r>
          </w:p>
        </w:tc>
        <w:tc>
          <w:tcPr>
            <w:tcW w:w="1208" w:type="dxa"/>
            <w:noWrap w:val="0"/>
            <w:vAlign w:val="center"/>
          </w:tcPr>
          <w:p w14:paraId="2397AC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≥90%</w:t>
            </w:r>
          </w:p>
        </w:tc>
        <w:tc>
          <w:tcPr>
            <w:tcW w:w="1686" w:type="dxa"/>
            <w:noWrap w:val="0"/>
            <w:vAlign w:val="center"/>
          </w:tcPr>
          <w:p w14:paraId="32E087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95%</w:t>
            </w:r>
          </w:p>
        </w:tc>
        <w:tc>
          <w:tcPr>
            <w:tcW w:w="690" w:type="dxa"/>
            <w:noWrap w:val="0"/>
            <w:vAlign w:val="center"/>
          </w:tcPr>
          <w:p w14:paraId="64D9915F">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837" w:type="dxa"/>
            <w:noWrap w:val="0"/>
            <w:vAlign w:val="center"/>
          </w:tcPr>
          <w:p w14:paraId="257B6DC5">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8</w:t>
            </w:r>
          </w:p>
        </w:tc>
        <w:tc>
          <w:tcPr>
            <w:tcW w:w="1075" w:type="dxa"/>
            <w:noWrap w:val="0"/>
            <w:vAlign w:val="center"/>
          </w:tcPr>
          <w:p w14:paraId="1E60AE8A">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9CF9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477" w:type="dxa"/>
            <w:gridSpan w:val="6"/>
            <w:noWrap w:val="0"/>
            <w:vAlign w:val="center"/>
          </w:tcPr>
          <w:p w14:paraId="6255507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690" w:type="dxa"/>
            <w:noWrap w:val="0"/>
            <w:vAlign w:val="center"/>
          </w:tcPr>
          <w:p w14:paraId="3618726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37" w:type="dxa"/>
            <w:noWrap w:val="0"/>
            <w:vAlign w:val="center"/>
          </w:tcPr>
          <w:p w14:paraId="0ABAFF85">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94.75</w:t>
            </w:r>
          </w:p>
        </w:tc>
        <w:tc>
          <w:tcPr>
            <w:tcW w:w="1075" w:type="dxa"/>
            <w:noWrap w:val="0"/>
            <w:vAlign w:val="center"/>
          </w:tcPr>
          <w:p w14:paraId="2A399FDD">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35C2AE5D">
      <w:pPr>
        <w:widowControl/>
        <w:spacing w:line="600" w:lineRule="exact"/>
        <w:jc w:val="left"/>
        <w:rPr>
          <w:rFonts w:hint="default" w:ascii="Times New Roman" w:hAnsi="Times New Roman" w:eastAsia="黑体" w:cs="Times New Roman"/>
          <w:sz w:val="32"/>
          <w:szCs w:val="32"/>
          <w:highlight w:val="none"/>
          <w:lang w:val="en-US" w:eastAsia="zh-CN"/>
        </w:rPr>
      </w:pPr>
      <w:r>
        <w:rPr>
          <w:rFonts w:hint="default" w:ascii="Times New Roman" w:hAnsi="Times New Roman" w:eastAsia="仿宋_GB2312" w:cs="Times New Roman"/>
          <w:sz w:val="22"/>
          <w:szCs w:val="22"/>
          <w:highlight w:val="none"/>
        </w:rPr>
        <w:t>填表人：</w:t>
      </w:r>
      <w:r>
        <w:rPr>
          <w:rFonts w:hint="eastAsia" w:ascii="Times New Roman" w:hAnsi="Times New Roman" w:eastAsia="仿宋_GB2312" w:cs="Times New Roman"/>
          <w:sz w:val="22"/>
          <w:szCs w:val="22"/>
          <w:highlight w:val="none"/>
          <w:lang w:val="en-US" w:eastAsia="zh-CN"/>
        </w:rPr>
        <w:t>黄娟</w:t>
      </w:r>
      <w:r>
        <w:rPr>
          <w:rFonts w:hint="default" w:ascii="Times New Roman" w:hAnsi="Times New Roman" w:eastAsia="仿宋_GB2312" w:cs="Times New Roman"/>
          <w:sz w:val="22"/>
          <w:szCs w:val="22"/>
          <w:highlight w:val="none"/>
        </w:rPr>
        <w:t xml:space="preserve">  填报日期：</w:t>
      </w:r>
      <w:r>
        <w:rPr>
          <w:rFonts w:hint="eastAsia" w:ascii="Times New Roman" w:hAnsi="Times New Roman" w:eastAsia="仿宋_GB2312" w:cs="Times New Roman"/>
          <w:sz w:val="22"/>
          <w:szCs w:val="22"/>
          <w:highlight w:val="none"/>
          <w:lang w:val="en-US" w:eastAsia="zh-CN"/>
        </w:rPr>
        <w:t>2026年6月1日</w:t>
      </w:r>
      <w:r>
        <w:rPr>
          <w:rFonts w:hint="default" w:ascii="Times New Roman" w:hAnsi="Times New Roman" w:eastAsia="仿宋_GB2312" w:cs="Times New Roman"/>
          <w:sz w:val="22"/>
          <w:szCs w:val="22"/>
          <w:highlight w:val="none"/>
        </w:rPr>
        <w:t xml:space="preserve">  联系电话：</w:t>
      </w:r>
      <w:r>
        <w:rPr>
          <w:rFonts w:hint="eastAsia" w:ascii="Times New Roman" w:hAnsi="Times New Roman" w:eastAsia="仿宋_GB2312" w:cs="Times New Roman"/>
          <w:sz w:val="22"/>
          <w:szCs w:val="22"/>
          <w:highlight w:val="none"/>
          <w:lang w:val="en-US" w:eastAsia="zh-CN"/>
        </w:rPr>
        <w:t>15575068909</w:t>
      </w:r>
      <w:r>
        <w:rPr>
          <w:rFonts w:hint="default" w:ascii="Times New Roman" w:hAnsi="Times New Roman" w:eastAsia="仿宋_GB2312" w:cs="Times New Roman"/>
          <w:sz w:val="22"/>
          <w:szCs w:val="22"/>
          <w:highlight w:val="none"/>
        </w:rPr>
        <w:t xml:space="preserve"> 单位负责人签字：</w:t>
      </w:r>
      <w:r>
        <w:rPr>
          <w:rFonts w:hint="eastAsia" w:ascii="Times New Roman" w:hAnsi="Times New Roman" w:eastAsia="仿宋_GB2312" w:cs="Times New Roman"/>
          <w:sz w:val="22"/>
          <w:szCs w:val="22"/>
          <w:highlight w:val="none"/>
          <w:lang w:val="en-US" w:eastAsia="zh-CN"/>
        </w:rPr>
        <w:t>李雄</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116AE7F5">
      <w:pPr>
        <w:widowControl/>
        <w:spacing w:line="600" w:lineRule="exact"/>
        <w:jc w:val="center"/>
        <w:rPr>
          <w:rFonts w:hint="eastAsia" w:ascii="方正小标宋简体" w:hAnsi="方正小标宋简体" w:eastAsia="方正小标宋简体" w:cs="方正小标宋简体"/>
          <w:color w:val="000000"/>
          <w:sz w:val="36"/>
          <w:szCs w:val="36"/>
          <w:highlight w:val="none"/>
          <w:lang w:val="en-US" w:eastAsia="zh-CN"/>
        </w:rPr>
      </w:pPr>
      <w:r>
        <w:rPr>
          <w:rFonts w:hint="eastAsia" w:ascii="方正小标宋简体" w:hAnsi="方正小标宋简体" w:eastAsia="方正小标宋简体" w:cs="方正小标宋简体"/>
          <w:color w:val="000000"/>
          <w:sz w:val="36"/>
          <w:szCs w:val="36"/>
          <w:highlight w:val="none"/>
          <w:lang w:val="en-US" w:eastAsia="zh-CN"/>
        </w:rPr>
        <w:t>2025年度项目支出绩效自评表</w:t>
      </w:r>
    </w:p>
    <w:tbl>
      <w:tblPr>
        <w:tblStyle w:val="10"/>
        <w:tblW w:w="9851" w:type="dxa"/>
        <w:jc w:val="center"/>
        <w:tblLayout w:type="fixed"/>
        <w:tblCellMar>
          <w:top w:w="0" w:type="dxa"/>
          <w:left w:w="108" w:type="dxa"/>
          <w:bottom w:w="0" w:type="dxa"/>
          <w:right w:w="108" w:type="dxa"/>
        </w:tblCellMar>
      </w:tblPr>
      <w:tblGrid>
        <w:gridCol w:w="1058"/>
        <w:gridCol w:w="1065"/>
        <w:gridCol w:w="1053"/>
        <w:gridCol w:w="1344"/>
        <w:gridCol w:w="1068"/>
        <w:gridCol w:w="1216"/>
        <w:gridCol w:w="814"/>
        <w:gridCol w:w="861"/>
        <w:gridCol w:w="1372"/>
      </w:tblGrid>
      <w:tr w14:paraId="7727EDC5">
        <w:tblPrEx>
          <w:tblCellMar>
            <w:top w:w="0" w:type="dxa"/>
            <w:left w:w="108" w:type="dxa"/>
            <w:bottom w:w="0" w:type="dxa"/>
            <w:right w:w="108" w:type="dxa"/>
          </w:tblCellMar>
        </w:tblPrEx>
        <w:trPr>
          <w:jc w:val="center"/>
        </w:trPr>
        <w:tc>
          <w:tcPr>
            <w:tcW w:w="1058" w:type="dxa"/>
            <w:tcBorders>
              <w:top w:val="single" w:color="auto" w:sz="4" w:space="0"/>
              <w:left w:val="single" w:color="auto" w:sz="4" w:space="0"/>
              <w:bottom w:val="single" w:color="auto" w:sz="4" w:space="0"/>
              <w:right w:val="single" w:color="auto" w:sz="4" w:space="0"/>
            </w:tcBorders>
            <w:noWrap w:val="0"/>
            <w:vAlign w:val="center"/>
          </w:tcPr>
          <w:p w14:paraId="7C5EBBA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52A686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93" w:type="dxa"/>
            <w:gridSpan w:val="8"/>
            <w:tcBorders>
              <w:top w:val="single" w:color="auto" w:sz="4" w:space="0"/>
              <w:left w:val="nil"/>
              <w:bottom w:val="single" w:color="auto" w:sz="4" w:space="0"/>
              <w:right w:val="single" w:color="auto" w:sz="4" w:space="0"/>
            </w:tcBorders>
            <w:noWrap w:val="0"/>
            <w:vAlign w:val="center"/>
          </w:tcPr>
          <w:p w14:paraId="20427D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lang w:val="en-US" w:eastAsia="zh-CN"/>
              </w:rPr>
              <w:t>环境监测执法经费</w:t>
            </w:r>
          </w:p>
        </w:tc>
      </w:tr>
      <w:tr w14:paraId="0FA2CC84">
        <w:tblPrEx>
          <w:tblCellMar>
            <w:top w:w="0" w:type="dxa"/>
            <w:left w:w="108" w:type="dxa"/>
            <w:bottom w:w="0" w:type="dxa"/>
            <w:right w:w="108" w:type="dxa"/>
          </w:tblCellMar>
        </w:tblPrEx>
        <w:trPr>
          <w:jc w:val="center"/>
        </w:trPr>
        <w:tc>
          <w:tcPr>
            <w:tcW w:w="1058" w:type="dxa"/>
            <w:tcBorders>
              <w:top w:val="nil"/>
              <w:left w:val="single" w:color="auto" w:sz="4" w:space="0"/>
              <w:bottom w:val="single" w:color="auto" w:sz="4" w:space="0"/>
              <w:right w:val="single" w:color="auto" w:sz="4" w:space="0"/>
            </w:tcBorders>
            <w:noWrap w:val="0"/>
            <w:vAlign w:val="center"/>
          </w:tcPr>
          <w:p w14:paraId="6BF20F0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30" w:type="dxa"/>
            <w:gridSpan w:val="4"/>
            <w:tcBorders>
              <w:top w:val="single" w:color="auto" w:sz="4" w:space="0"/>
              <w:left w:val="nil"/>
              <w:bottom w:val="single" w:color="auto" w:sz="4" w:space="0"/>
              <w:right w:val="single" w:color="auto" w:sz="4" w:space="0"/>
            </w:tcBorders>
            <w:noWrap w:val="0"/>
            <w:vAlign w:val="center"/>
          </w:tcPr>
          <w:p w14:paraId="0B42DC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岳阳市生态环境局</w:t>
            </w:r>
          </w:p>
        </w:tc>
        <w:tc>
          <w:tcPr>
            <w:tcW w:w="1216" w:type="dxa"/>
            <w:tcBorders>
              <w:top w:val="single" w:color="auto" w:sz="4" w:space="0"/>
              <w:left w:val="nil"/>
              <w:bottom w:val="single" w:color="auto" w:sz="4" w:space="0"/>
              <w:right w:val="single" w:color="000000" w:sz="4" w:space="0"/>
            </w:tcBorders>
            <w:noWrap w:val="0"/>
            <w:vAlign w:val="center"/>
          </w:tcPr>
          <w:p w14:paraId="24FBA3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3047" w:type="dxa"/>
            <w:gridSpan w:val="3"/>
            <w:tcBorders>
              <w:top w:val="single" w:color="auto" w:sz="4" w:space="0"/>
              <w:left w:val="nil"/>
              <w:bottom w:val="single" w:color="auto" w:sz="4" w:space="0"/>
              <w:right w:val="single" w:color="auto" w:sz="4" w:space="0"/>
            </w:tcBorders>
            <w:noWrap w:val="0"/>
            <w:vAlign w:val="center"/>
          </w:tcPr>
          <w:p w14:paraId="7647DB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岳阳市生态环境局屈原分局</w:t>
            </w:r>
          </w:p>
        </w:tc>
      </w:tr>
      <w:tr w14:paraId="7DCD9674">
        <w:tblPrEx>
          <w:tblCellMar>
            <w:top w:w="0" w:type="dxa"/>
            <w:left w:w="108" w:type="dxa"/>
            <w:bottom w:w="0" w:type="dxa"/>
            <w:right w:w="108" w:type="dxa"/>
          </w:tblCellMar>
        </w:tblPrEx>
        <w:trPr>
          <w:jc w:val="center"/>
        </w:trPr>
        <w:tc>
          <w:tcPr>
            <w:tcW w:w="1058" w:type="dxa"/>
            <w:vMerge w:val="restart"/>
            <w:tcBorders>
              <w:top w:val="nil"/>
              <w:left w:val="single" w:color="auto" w:sz="4" w:space="0"/>
              <w:bottom w:val="single" w:color="000000" w:sz="4" w:space="0"/>
              <w:right w:val="single" w:color="auto" w:sz="4" w:space="0"/>
            </w:tcBorders>
            <w:noWrap w:val="0"/>
            <w:vAlign w:val="center"/>
          </w:tcPr>
          <w:p w14:paraId="018DCD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18" w:type="dxa"/>
            <w:gridSpan w:val="2"/>
            <w:tcBorders>
              <w:top w:val="nil"/>
              <w:left w:val="nil"/>
              <w:bottom w:val="single" w:color="auto" w:sz="4" w:space="0"/>
              <w:right w:val="single" w:color="auto" w:sz="4" w:space="0"/>
            </w:tcBorders>
            <w:noWrap w:val="0"/>
            <w:vAlign w:val="center"/>
          </w:tcPr>
          <w:p w14:paraId="29DE11D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344" w:type="dxa"/>
            <w:tcBorders>
              <w:top w:val="nil"/>
              <w:left w:val="nil"/>
              <w:bottom w:val="single" w:color="auto" w:sz="4" w:space="0"/>
              <w:right w:val="single" w:color="auto" w:sz="4" w:space="0"/>
            </w:tcBorders>
            <w:noWrap w:val="0"/>
            <w:vAlign w:val="center"/>
          </w:tcPr>
          <w:p w14:paraId="154771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2FC111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068" w:type="dxa"/>
            <w:tcBorders>
              <w:top w:val="nil"/>
              <w:left w:val="nil"/>
              <w:bottom w:val="single" w:color="auto" w:sz="4" w:space="0"/>
              <w:right w:val="single" w:color="auto" w:sz="4" w:space="0"/>
            </w:tcBorders>
            <w:noWrap w:val="0"/>
            <w:vAlign w:val="center"/>
          </w:tcPr>
          <w:p w14:paraId="6DB80A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47AA2D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216" w:type="dxa"/>
            <w:tcBorders>
              <w:top w:val="nil"/>
              <w:left w:val="nil"/>
              <w:bottom w:val="single" w:color="auto" w:sz="4" w:space="0"/>
              <w:right w:val="single" w:color="auto" w:sz="4" w:space="0"/>
            </w:tcBorders>
            <w:noWrap w:val="0"/>
            <w:vAlign w:val="center"/>
          </w:tcPr>
          <w:p w14:paraId="44087A0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3B267C4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14" w:type="dxa"/>
            <w:tcBorders>
              <w:top w:val="nil"/>
              <w:left w:val="nil"/>
              <w:bottom w:val="single" w:color="auto" w:sz="4" w:space="0"/>
              <w:right w:val="single" w:color="auto" w:sz="4" w:space="0"/>
            </w:tcBorders>
            <w:noWrap w:val="0"/>
            <w:vAlign w:val="center"/>
          </w:tcPr>
          <w:p w14:paraId="59E126D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61" w:type="dxa"/>
            <w:tcBorders>
              <w:top w:val="nil"/>
              <w:left w:val="nil"/>
              <w:bottom w:val="single" w:color="auto" w:sz="4" w:space="0"/>
              <w:right w:val="single" w:color="auto" w:sz="4" w:space="0"/>
            </w:tcBorders>
            <w:noWrap w:val="0"/>
            <w:vAlign w:val="center"/>
          </w:tcPr>
          <w:p w14:paraId="34CB57A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372" w:type="dxa"/>
            <w:tcBorders>
              <w:top w:val="nil"/>
              <w:left w:val="nil"/>
              <w:bottom w:val="single" w:color="auto" w:sz="4" w:space="0"/>
              <w:right w:val="single" w:color="auto" w:sz="4" w:space="0"/>
            </w:tcBorders>
            <w:noWrap w:val="0"/>
            <w:vAlign w:val="center"/>
          </w:tcPr>
          <w:p w14:paraId="5E7E5CD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442D3898">
        <w:tblPrEx>
          <w:tblCellMar>
            <w:top w:w="0" w:type="dxa"/>
            <w:left w:w="108" w:type="dxa"/>
            <w:bottom w:w="0" w:type="dxa"/>
            <w:right w:w="108" w:type="dxa"/>
          </w:tblCellMar>
        </w:tblPrEx>
        <w:trPr>
          <w:jc w:val="center"/>
        </w:trPr>
        <w:tc>
          <w:tcPr>
            <w:tcW w:w="1058" w:type="dxa"/>
            <w:vMerge w:val="continue"/>
            <w:tcBorders>
              <w:top w:val="nil"/>
              <w:left w:val="single" w:color="auto" w:sz="4" w:space="0"/>
              <w:bottom w:val="single" w:color="000000" w:sz="4" w:space="0"/>
              <w:right w:val="single" w:color="auto" w:sz="4" w:space="0"/>
            </w:tcBorders>
            <w:noWrap w:val="0"/>
            <w:vAlign w:val="center"/>
          </w:tcPr>
          <w:p w14:paraId="47389EE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18" w:type="dxa"/>
            <w:gridSpan w:val="2"/>
            <w:tcBorders>
              <w:top w:val="nil"/>
              <w:left w:val="nil"/>
              <w:bottom w:val="single" w:color="auto" w:sz="4" w:space="0"/>
              <w:right w:val="single" w:color="auto" w:sz="4" w:space="0"/>
            </w:tcBorders>
            <w:noWrap w:val="0"/>
            <w:vAlign w:val="center"/>
          </w:tcPr>
          <w:p w14:paraId="1826D61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344" w:type="dxa"/>
            <w:tcBorders>
              <w:top w:val="nil"/>
              <w:left w:val="nil"/>
              <w:bottom w:val="single" w:color="auto" w:sz="4" w:space="0"/>
              <w:right w:val="single" w:color="auto" w:sz="4" w:space="0"/>
            </w:tcBorders>
            <w:noWrap w:val="0"/>
            <w:vAlign w:val="center"/>
          </w:tcPr>
          <w:p w14:paraId="452A42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1068" w:type="dxa"/>
            <w:tcBorders>
              <w:top w:val="nil"/>
              <w:left w:val="nil"/>
              <w:bottom w:val="single" w:color="auto" w:sz="4" w:space="0"/>
              <w:right w:val="single" w:color="auto" w:sz="4" w:space="0"/>
            </w:tcBorders>
            <w:noWrap w:val="0"/>
            <w:vAlign w:val="center"/>
          </w:tcPr>
          <w:p w14:paraId="3B3B97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sz w:val="20"/>
                <w:szCs w:val="20"/>
                <w:highlight w:val="none"/>
                <w:lang w:val="en-US" w:eastAsia="zh-CN"/>
              </w:rPr>
              <w:t>14.76</w:t>
            </w:r>
          </w:p>
        </w:tc>
        <w:tc>
          <w:tcPr>
            <w:tcW w:w="1216" w:type="dxa"/>
            <w:tcBorders>
              <w:top w:val="nil"/>
              <w:left w:val="nil"/>
              <w:bottom w:val="single" w:color="auto" w:sz="4" w:space="0"/>
              <w:right w:val="single" w:color="auto" w:sz="4" w:space="0"/>
            </w:tcBorders>
            <w:noWrap w:val="0"/>
            <w:vAlign w:val="center"/>
          </w:tcPr>
          <w:p w14:paraId="14882D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sz w:val="20"/>
                <w:szCs w:val="20"/>
                <w:highlight w:val="none"/>
                <w:lang w:val="en-US" w:eastAsia="zh-CN"/>
              </w:rPr>
              <w:t>14.76</w:t>
            </w:r>
          </w:p>
        </w:tc>
        <w:tc>
          <w:tcPr>
            <w:tcW w:w="814" w:type="dxa"/>
            <w:tcBorders>
              <w:top w:val="nil"/>
              <w:left w:val="nil"/>
              <w:bottom w:val="single" w:color="auto" w:sz="4" w:space="0"/>
              <w:right w:val="single" w:color="auto" w:sz="4" w:space="0"/>
            </w:tcBorders>
            <w:noWrap w:val="0"/>
            <w:vAlign w:val="center"/>
          </w:tcPr>
          <w:p w14:paraId="522317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w:t>
            </w:r>
          </w:p>
        </w:tc>
        <w:tc>
          <w:tcPr>
            <w:tcW w:w="861" w:type="dxa"/>
            <w:tcBorders>
              <w:top w:val="nil"/>
              <w:left w:val="nil"/>
              <w:bottom w:val="single" w:color="auto" w:sz="4" w:space="0"/>
              <w:right w:val="single" w:color="auto" w:sz="4" w:space="0"/>
            </w:tcBorders>
            <w:noWrap w:val="0"/>
            <w:vAlign w:val="center"/>
          </w:tcPr>
          <w:p w14:paraId="5ECA11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372" w:type="dxa"/>
            <w:tcBorders>
              <w:top w:val="nil"/>
              <w:left w:val="nil"/>
              <w:bottom w:val="single" w:color="auto" w:sz="4" w:space="0"/>
              <w:right w:val="single" w:color="auto" w:sz="4" w:space="0"/>
            </w:tcBorders>
            <w:noWrap w:val="0"/>
            <w:vAlign w:val="center"/>
          </w:tcPr>
          <w:p w14:paraId="551DFA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r>
      <w:tr w14:paraId="132C9318">
        <w:tblPrEx>
          <w:tblCellMar>
            <w:top w:w="0" w:type="dxa"/>
            <w:left w:w="108" w:type="dxa"/>
            <w:bottom w:w="0" w:type="dxa"/>
            <w:right w:w="108" w:type="dxa"/>
          </w:tblCellMar>
        </w:tblPrEx>
        <w:trPr>
          <w:jc w:val="center"/>
        </w:trPr>
        <w:tc>
          <w:tcPr>
            <w:tcW w:w="1058" w:type="dxa"/>
            <w:vMerge w:val="continue"/>
            <w:tcBorders>
              <w:top w:val="nil"/>
              <w:left w:val="single" w:color="auto" w:sz="4" w:space="0"/>
              <w:bottom w:val="single" w:color="000000" w:sz="4" w:space="0"/>
              <w:right w:val="single" w:color="auto" w:sz="4" w:space="0"/>
            </w:tcBorders>
            <w:noWrap w:val="0"/>
            <w:vAlign w:val="center"/>
          </w:tcPr>
          <w:p w14:paraId="5E96CB9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18" w:type="dxa"/>
            <w:gridSpan w:val="2"/>
            <w:tcBorders>
              <w:top w:val="nil"/>
              <w:left w:val="nil"/>
              <w:bottom w:val="single" w:color="auto" w:sz="4" w:space="0"/>
              <w:right w:val="single" w:color="auto" w:sz="4" w:space="0"/>
            </w:tcBorders>
            <w:noWrap w:val="0"/>
            <w:vAlign w:val="center"/>
          </w:tcPr>
          <w:p w14:paraId="41AC200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344" w:type="dxa"/>
            <w:tcBorders>
              <w:top w:val="nil"/>
              <w:left w:val="nil"/>
              <w:bottom w:val="single" w:color="auto" w:sz="4" w:space="0"/>
              <w:right w:val="single" w:color="auto" w:sz="4" w:space="0"/>
            </w:tcBorders>
            <w:noWrap w:val="0"/>
            <w:vAlign w:val="center"/>
          </w:tcPr>
          <w:p w14:paraId="10C434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1068" w:type="dxa"/>
            <w:tcBorders>
              <w:top w:val="nil"/>
              <w:left w:val="nil"/>
              <w:bottom w:val="single" w:color="auto" w:sz="4" w:space="0"/>
              <w:right w:val="single" w:color="auto" w:sz="4" w:space="0"/>
            </w:tcBorders>
            <w:noWrap w:val="0"/>
            <w:vAlign w:val="center"/>
          </w:tcPr>
          <w:p w14:paraId="70F4C0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sz w:val="20"/>
                <w:szCs w:val="20"/>
                <w:highlight w:val="none"/>
                <w:lang w:val="en-US" w:eastAsia="zh-CN"/>
              </w:rPr>
              <w:t>14.76</w:t>
            </w:r>
          </w:p>
        </w:tc>
        <w:tc>
          <w:tcPr>
            <w:tcW w:w="1216" w:type="dxa"/>
            <w:tcBorders>
              <w:top w:val="nil"/>
              <w:left w:val="nil"/>
              <w:bottom w:val="single" w:color="auto" w:sz="4" w:space="0"/>
              <w:right w:val="single" w:color="auto" w:sz="4" w:space="0"/>
            </w:tcBorders>
            <w:noWrap w:val="0"/>
            <w:vAlign w:val="center"/>
          </w:tcPr>
          <w:p w14:paraId="4DD532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sz w:val="20"/>
                <w:szCs w:val="20"/>
                <w:highlight w:val="none"/>
                <w:lang w:val="en-US" w:eastAsia="zh-CN"/>
              </w:rPr>
              <w:t>14.76</w:t>
            </w:r>
          </w:p>
        </w:tc>
        <w:tc>
          <w:tcPr>
            <w:tcW w:w="814" w:type="dxa"/>
            <w:tcBorders>
              <w:top w:val="nil"/>
              <w:left w:val="nil"/>
              <w:bottom w:val="single" w:color="auto" w:sz="4" w:space="0"/>
              <w:right w:val="single" w:color="auto" w:sz="4" w:space="0"/>
            </w:tcBorders>
            <w:noWrap w:val="0"/>
            <w:vAlign w:val="center"/>
          </w:tcPr>
          <w:p w14:paraId="6B567A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861" w:type="dxa"/>
            <w:tcBorders>
              <w:top w:val="nil"/>
              <w:left w:val="nil"/>
              <w:bottom w:val="single" w:color="auto" w:sz="4" w:space="0"/>
              <w:right w:val="single" w:color="auto" w:sz="4" w:space="0"/>
            </w:tcBorders>
            <w:noWrap w:val="0"/>
            <w:vAlign w:val="center"/>
          </w:tcPr>
          <w:p w14:paraId="661C46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372" w:type="dxa"/>
            <w:tcBorders>
              <w:top w:val="nil"/>
              <w:left w:val="nil"/>
              <w:bottom w:val="single" w:color="auto" w:sz="4" w:space="0"/>
              <w:right w:val="single" w:color="auto" w:sz="4" w:space="0"/>
            </w:tcBorders>
            <w:noWrap w:val="0"/>
            <w:vAlign w:val="center"/>
          </w:tcPr>
          <w:p w14:paraId="6F48BA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r>
      <w:tr w14:paraId="75D40F79">
        <w:tblPrEx>
          <w:tblCellMar>
            <w:top w:w="0" w:type="dxa"/>
            <w:left w:w="108" w:type="dxa"/>
            <w:bottom w:w="0" w:type="dxa"/>
            <w:right w:w="108" w:type="dxa"/>
          </w:tblCellMar>
        </w:tblPrEx>
        <w:trPr>
          <w:jc w:val="center"/>
        </w:trPr>
        <w:tc>
          <w:tcPr>
            <w:tcW w:w="1058" w:type="dxa"/>
            <w:vMerge w:val="continue"/>
            <w:tcBorders>
              <w:top w:val="nil"/>
              <w:left w:val="single" w:color="auto" w:sz="4" w:space="0"/>
              <w:bottom w:val="single" w:color="000000" w:sz="4" w:space="0"/>
              <w:right w:val="single" w:color="auto" w:sz="4" w:space="0"/>
            </w:tcBorders>
            <w:noWrap w:val="0"/>
            <w:vAlign w:val="center"/>
          </w:tcPr>
          <w:p w14:paraId="3C9D2B3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18" w:type="dxa"/>
            <w:gridSpan w:val="2"/>
            <w:tcBorders>
              <w:top w:val="nil"/>
              <w:left w:val="nil"/>
              <w:bottom w:val="single" w:color="auto" w:sz="4" w:space="0"/>
              <w:right w:val="single" w:color="auto" w:sz="4" w:space="0"/>
            </w:tcBorders>
            <w:noWrap w:val="0"/>
            <w:vAlign w:val="center"/>
          </w:tcPr>
          <w:p w14:paraId="6DFFFA8B">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344" w:type="dxa"/>
            <w:tcBorders>
              <w:top w:val="nil"/>
              <w:left w:val="nil"/>
              <w:bottom w:val="single" w:color="auto" w:sz="4" w:space="0"/>
              <w:right w:val="single" w:color="auto" w:sz="4" w:space="0"/>
            </w:tcBorders>
            <w:noWrap w:val="0"/>
            <w:vAlign w:val="center"/>
          </w:tcPr>
          <w:p w14:paraId="2DDAE1C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68" w:type="dxa"/>
            <w:tcBorders>
              <w:top w:val="nil"/>
              <w:left w:val="nil"/>
              <w:bottom w:val="single" w:color="auto" w:sz="4" w:space="0"/>
              <w:right w:val="single" w:color="auto" w:sz="4" w:space="0"/>
            </w:tcBorders>
            <w:noWrap w:val="0"/>
            <w:vAlign w:val="center"/>
          </w:tcPr>
          <w:p w14:paraId="78E9BD6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16" w:type="dxa"/>
            <w:tcBorders>
              <w:top w:val="nil"/>
              <w:left w:val="nil"/>
              <w:bottom w:val="single" w:color="auto" w:sz="4" w:space="0"/>
              <w:right w:val="single" w:color="auto" w:sz="4" w:space="0"/>
            </w:tcBorders>
            <w:noWrap w:val="0"/>
            <w:vAlign w:val="center"/>
          </w:tcPr>
          <w:p w14:paraId="325BEA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14" w:type="dxa"/>
            <w:tcBorders>
              <w:top w:val="nil"/>
              <w:left w:val="nil"/>
              <w:bottom w:val="single" w:color="auto" w:sz="4" w:space="0"/>
              <w:right w:val="single" w:color="auto" w:sz="4" w:space="0"/>
            </w:tcBorders>
            <w:noWrap w:val="0"/>
            <w:vAlign w:val="center"/>
          </w:tcPr>
          <w:p w14:paraId="715226B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61" w:type="dxa"/>
            <w:tcBorders>
              <w:top w:val="nil"/>
              <w:left w:val="nil"/>
              <w:bottom w:val="single" w:color="auto" w:sz="4" w:space="0"/>
              <w:right w:val="single" w:color="auto" w:sz="4" w:space="0"/>
            </w:tcBorders>
            <w:noWrap w:val="0"/>
            <w:vAlign w:val="center"/>
          </w:tcPr>
          <w:p w14:paraId="21FB94A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372" w:type="dxa"/>
            <w:tcBorders>
              <w:top w:val="nil"/>
              <w:left w:val="nil"/>
              <w:bottom w:val="single" w:color="auto" w:sz="4" w:space="0"/>
              <w:right w:val="single" w:color="auto" w:sz="4" w:space="0"/>
            </w:tcBorders>
            <w:noWrap w:val="0"/>
            <w:vAlign w:val="center"/>
          </w:tcPr>
          <w:p w14:paraId="61A2AB8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B10B8A7">
        <w:tblPrEx>
          <w:tblCellMar>
            <w:top w:w="0" w:type="dxa"/>
            <w:left w:w="108" w:type="dxa"/>
            <w:bottom w:w="0" w:type="dxa"/>
            <w:right w:w="108" w:type="dxa"/>
          </w:tblCellMar>
        </w:tblPrEx>
        <w:trPr>
          <w:jc w:val="center"/>
        </w:trPr>
        <w:tc>
          <w:tcPr>
            <w:tcW w:w="1058" w:type="dxa"/>
            <w:vMerge w:val="continue"/>
            <w:tcBorders>
              <w:top w:val="nil"/>
              <w:left w:val="single" w:color="auto" w:sz="4" w:space="0"/>
              <w:bottom w:val="single" w:color="000000" w:sz="4" w:space="0"/>
              <w:right w:val="single" w:color="auto" w:sz="4" w:space="0"/>
            </w:tcBorders>
            <w:noWrap w:val="0"/>
            <w:vAlign w:val="center"/>
          </w:tcPr>
          <w:p w14:paraId="217CFFB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18" w:type="dxa"/>
            <w:gridSpan w:val="2"/>
            <w:tcBorders>
              <w:top w:val="nil"/>
              <w:left w:val="nil"/>
              <w:bottom w:val="single" w:color="auto" w:sz="4" w:space="0"/>
              <w:right w:val="single" w:color="auto" w:sz="4" w:space="0"/>
            </w:tcBorders>
            <w:noWrap w:val="0"/>
            <w:vAlign w:val="center"/>
          </w:tcPr>
          <w:p w14:paraId="6C074D61">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344" w:type="dxa"/>
            <w:tcBorders>
              <w:top w:val="nil"/>
              <w:left w:val="nil"/>
              <w:bottom w:val="single" w:color="auto" w:sz="4" w:space="0"/>
              <w:right w:val="single" w:color="auto" w:sz="4" w:space="0"/>
            </w:tcBorders>
            <w:noWrap w:val="0"/>
            <w:vAlign w:val="center"/>
          </w:tcPr>
          <w:p w14:paraId="2EDE686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68" w:type="dxa"/>
            <w:tcBorders>
              <w:top w:val="nil"/>
              <w:left w:val="nil"/>
              <w:bottom w:val="single" w:color="auto" w:sz="4" w:space="0"/>
              <w:right w:val="single" w:color="auto" w:sz="4" w:space="0"/>
            </w:tcBorders>
            <w:noWrap w:val="0"/>
            <w:vAlign w:val="center"/>
          </w:tcPr>
          <w:p w14:paraId="73F9AC6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16" w:type="dxa"/>
            <w:tcBorders>
              <w:top w:val="nil"/>
              <w:left w:val="nil"/>
              <w:bottom w:val="single" w:color="auto" w:sz="4" w:space="0"/>
              <w:right w:val="single" w:color="auto" w:sz="4" w:space="0"/>
            </w:tcBorders>
            <w:noWrap w:val="0"/>
            <w:vAlign w:val="center"/>
          </w:tcPr>
          <w:p w14:paraId="07B1D74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14" w:type="dxa"/>
            <w:tcBorders>
              <w:top w:val="nil"/>
              <w:left w:val="nil"/>
              <w:bottom w:val="single" w:color="auto" w:sz="4" w:space="0"/>
              <w:right w:val="single" w:color="auto" w:sz="4" w:space="0"/>
            </w:tcBorders>
            <w:noWrap w:val="0"/>
            <w:vAlign w:val="center"/>
          </w:tcPr>
          <w:p w14:paraId="170B5F7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61" w:type="dxa"/>
            <w:tcBorders>
              <w:top w:val="nil"/>
              <w:left w:val="nil"/>
              <w:bottom w:val="single" w:color="auto" w:sz="4" w:space="0"/>
              <w:right w:val="single" w:color="auto" w:sz="4" w:space="0"/>
            </w:tcBorders>
            <w:noWrap w:val="0"/>
            <w:vAlign w:val="center"/>
          </w:tcPr>
          <w:p w14:paraId="20668AE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372" w:type="dxa"/>
            <w:tcBorders>
              <w:top w:val="nil"/>
              <w:left w:val="nil"/>
              <w:bottom w:val="single" w:color="auto" w:sz="4" w:space="0"/>
              <w:right w:val="single" w:color="auto" w:sz="4" w:space="0"/>
            </w:tcBorders>
            <w:noWrap w:val="0"/>
            <w:vAlign w:val="center"/>
          </w:tcPr>
          <w:p w14:paraId="6BE43D4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CDFC8E0">
        <w:tblPrEx>
          <w:tblCellMar>
            <w:top w:w="0" w:type="dxa"/>
            <w:left w:w="108" w:type="dxa"/>
            <w:bottom w:w="0" w:type="dxa"/>
            <w:right w:w="108" w:type="dxa"/>
          </w:tblCellMar>
        </w:tblPrEx>
        <w:trPr>
          <w:jc w:val="center"/>
        </w:trPr>
        <w:tc>
          <w:tcPr>
            <w:tcW w:w="1058" w:type="dxa"/>
            <w:vMerge w:val="restart"/>
            <w:tcBorders>
              <w:top w:val="nil"/>
              <w:left w:val="single" w:color="auto" w:sz="4" w:space="0"/>
              <w:bottom w:val="single" w:color="000000" w:sz="4" w:space="0"/>
              <w:right w:val="single" w:color="auto" w:sz="4" w:space="0"/>
            </w:tcBorders>
            <w:noWrap w:val="0"/>
            <w:vAlign w:val="center"/>
          </w:tcPr>
          <w:p w14:paraId="46DC8C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30" w:type="dxa"/>
            <w:gridSpan w:val="4"/>
            <w:tcBorders>
              <w:top w:val="single" w:color="auto" w:sz="4" w:space="0"/>
              <w:left w:val="nil"/>
              <w:bottom w:val="single" w:color="auto" w:sz="4" w:space="0"/>
              <w:right w:val="single" w:color="000000" w:sz="4" w:space="0"/>
            </w:tcBorders>
            <w:noWrap w:val="0"/>
            <w:vAlign w:val="center"/>
          </w:tcPr>
          <w:p w14:paraId="36DB1C6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63" w:type="dxa"/>
            <w:gridSpan w:val="4"/>
            <w:tcBorders>
              <w:top w:val="single" w:color="auto" w:sz="4" w:space="0"/>
              <w:left w:val="nil"/>
              <w:bottom w:val="single" w:color="auto" w:sz="4" w:space="0"/>
              <w:right w:val="single" w:color="auto" w:sz="4" w:space="0"/>
            </w:tcBorders>
            <w:noWrap w:val="0"/>
            <w:vAlign w:val="center"/>
          </w:tcPr>
          <w:p w14:paraId="6AE2C5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1B825FFE">
        <w:tblPrEx>
          <w:tblCellMar>
            <w:top w:w="0" w:type="dxa"/>
            <w:left w:w="108" w:type="dxa"/>
            <w:bottom w:w="0" w:type="dxa"/>
            <w:right w:w="108" w:type="dxa"/>
          </w:tblCellMar>
        </w:tblPrEx>
        <w:trPr>
          <w:jc w:val="center"/>
        </w:trPr>
        <w:tc>
          <w:tcPr>
            <w:tcW w:w="1058" w:type="dxa"/>
            <w:vMerge w:val="continue"/>
            <w:tcBorders>
              <w:top w:val="nil"/>
              <w:left w:val="single" w:color="auto" w:sz="4" w:space="0"/>
              <w:bottom w:val="single" w:color="000000" w:sz="4" w:space="0"/>
              <w:right w:val="single" w:color="auto" w:sz="4" w:space="0"/>
            </w:tcBorders>
            <w:noWrap w:val="0"/>
            <w:vAlign w:val="center"/>
          </w:tcPr>
          <w:p w14:paraId="74EFDA4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530" w:type="dxa"/>
            <w:gridSpan w:val="4"/>
            <w:tcBorders>
              <w:top w:val="single" w:color="auto" w:sz="4" w:space="0"/>
              <w:left w:val="nil"/>
              <w:bottom w:val="single" w:color="auto" w:sz="4" w:space="0"/>
              <w:right w:val="single" w:color="000000" w:sz="4" w:space="0"/>
            </w:tcBorders>
            <w:noWrap w:val="0"/>
            <w:vAlign w:val="center"/>
          </w:tcPr>
          <w:p w14:paraId="6BA486D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目标1、日常环境监管、执法工作；</w:t>
            </w:r>
          </w:p>
          <w:p w14:paraId="09FAB42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目标2、委托第三方进行执法性监督监测；</w:t>
            </w:r>
          </w:p>
          <w:p w14:paraId="2C0FCA0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目标3、环保迎检、应急处置经费；</w:t>
            </w:r>
          </w:p>
          <w:p w14:paraId="067D4EA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目标4、节能环保宣传费用。</w:t>
            </w:r>
          </w:p>
        </w:tc>
        <w:tc>
          <w:tcPr>
            <w:tcW w:w="4263" w:type="dxa"/>
            <w:gridSpan w:val="4"/>
            <w:tcBorders>
              <w:top w:val="single" w:color="auto" w:sz="4" w:space="0"/>
              <w:left w:val="nil"/>
              <w:bottom w:val="single" w:color="auto" w:sz="4" w:space="0"/>
              <w:right w:val="single" w:color="auto" w:sz="4" w:space="0"/>
            </w:tcBorders>
            <w:noWrap w:val="0"/>
            <w:vAlign w:val="center"/>
          </w:tcPr>
          <w:p w14:paraId="3618CE6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已完成预期目标。</w:t>
            </w:r>
          </w:p>
        </w:tc>
      </w:tr>
      <w:tr w14:paraId="0E629737">
        <w:tblPrEx>
          <w:tblCellMar>
            <w:top w:w="0" w:type="dxa"/>
            <w:left w:w="108" w:type="dxa"/>
            <w:bottom w:w="0" w:type="dxa"/>
            <w:right w:w="108" w:type="dxa"/>
          </w:tblCellMar>
        </w:tblPrEx>
        <w:trPr>
          <w:jc w:val="center"/>
        </w:trPr>
        <w:tc>
          <w:tcPr>
            <w:tcW w:w="1058" w:type="dxa"/>
            <w:vMerge w:val="restart"/>
            <w:tcBorders>
              <w:top w:val="nil"/>
              <w:left w:val="single" w:color="auto" w:sz="4" w:space="0"/>
              <w:right w:val="single" w:color="auto" w:sz="4" w:space="0"/>
            </w:tcBorders>
            <w:noWrap w:val="0"/>
            <w:vAlign w:val="center"/>
          </w:tcPr>
          <w:p w14:paraId="41DB7B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653D26B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3C5A5C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33A8B5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65" w:type="dxa"/>
            <w:tcBorders>
              <w:top w:val="nil"/>
              <w:left w:val="nil"/>
              <w:bottom w:val="single" w:color="auto" w:sz="4" w:space="0"/>
              <w:right w:val="single" w:color="auto" w:sz="4" w:space="0"/>
            </w:tcBorders>
            <w:noWrap w:val="0"/>
            <w:vAlign w:val="center"/>
          </w:tcPr>
          <w:p w14:paraId="168AE1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53" w:type="dxa"/>
            <w:tcBorders>
              <w:top w:val="nil"/>
              <w:left w:val="nil"/>
              <w:bottom w:val="single" w:color="auto" w:sz="4" w:space="0"/>
              <w:right w:val="single" w:color="auto" w:sz="4" w:space="0"/>
            </w:tcBorders>
            <w:noWrap w:val="0"/>
            <w:vAlign w:val="center"/>
          </w:tcPr>
          <w:p w14:paraId="347981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344" w:type="dxa"/>
            <w:tcBorders>
              <w:top w:val="nil"/>
              <w:left w:val="nil"/>
              <w:bottom w:val="single" w:color="auto" w:sz="4" w:space="0"/>
              <w:right w:val="single" w:color="auto" w:sz="4" w:space="0"/>
            </w:tcBorders>
            <w:noWrap w:val="0"/>
            <w:vAlign w:val="center"/>
          </w:tcPr>
          <w:p w14:paraId="7B7D3B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068" w:type="dxa"/>
            <w:tcBorders>
              <w:top w:val="nil"/>
              <w:left w:val="nil"/>
              <w:bottom w:val="single" w:color="auto" w:sz="4" w:space="0"/>
              <w:right w:val="single" w:color="auto" w:sz="4" w:space="0"/>
            </w:tcBorders>
            <w:noWrap w:val="0"/>
            <w:vAlign w:val="center"/>
          </w:tcPr>
          <w:p w14:paraId="5846FA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4F1190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216" w:type="dxa"/>
            <w:tcBorders>
              <w:top w:val="nil"/>
              <w:left w:val="nil"/>
              <w:bottom w:val="single" w:color="auto" w:sz="4" w:space="0"/>
              <w:right w:val="single" w:color="auto" w:sz="4" w:space="0"/>
            </w:tcBorders>
            <w:noWrap w:val="0"/>
            <w:vAlign w:val="center"/>
          </w:tcPr>
          <w:p w14:paraId="67BC549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21B386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14" w:type="dxa"/>
            <w:tcBorders>
              <w:top w:val="nil"/>
              <w:left w:val="nil"/>
              <w:bottom w:val="single" w:color="auto" w:sz="4" w:space="0"/>
              <w:right w:val="single" w:color="auto" w:sz="4" w:space="0"/>
            </w:tcBorders>
            <w:noWrap w:val="0"/>
            <w:vAlign w:val="center"/>
          </w:tcPr>
          <w:p w14:paraId="2437A1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61" w:type="dxa"/>
            <w:tcBorders>
              <w:top w:val="nil"/>
              <w:left w:val="nil"/>
              <w:bottom w:val="single" w:color="auto" w:sz="4" w:space="0"/>
              <w:right w:val="single" w:color="auto" w:sz="4" w:space="0"/>
            </w:tcBorders>
            <w:noWrap w:val="0"/>
            <w:vAlign w:val="center"/>
          </w:tcPr>
          <w:p w14:paraId="2ED1F3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372" w:type="dxa"/>
            <w:tcBorders>
              <w:top w:val="nil"/>
              <w:left w:val="nil"/>
              <w:bottom w:val="single" w:color="auto" w:sz="4" w:space="0"/>
              <w:right w:val="single" w:color="auto" w:sz="4" w:space="0"/>
            </w:tcBorders>
            <w:noWrap w:val="0"/>
            <w:vAlign w:val="center"/>
          </w:tcPr>
          <w:p w14:paraId="7CDFE188">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254FE8B3">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7B214DA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restart"/>
            <w:tcBorders>
              <w:top w:val="single" w:color="auto" w:sz="4" w:space="0"/>
              <w:left w:val="single" w:color="auto" w:sz="4" w:space="0"/>
              <w:bottom w:val="single" w:color="auto" w:sz="4" w:space="0"/>
              <w:right w:val="single" w:color="auto" w:sz="4" w:space="0"/>
            </w:tcBorders>
            <w:noWrap w:val="0"/>
            <w:vAlign w:val="center"/>
          </w:tcPr>
          <w:p w14:paraId="662385E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04E023A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5C568B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53" w:type="dxa"/>
            <w:vMerge w:val="restart"/>
            <w:tcBorders>
              <w:top w:val="single" w:color="auto" w:sz="4" w:space="0"/>
              <w:left w:val="single" w:color="auto" w:sz="4" w:space="0"/>
              <w:bottom w:val="single" w:color="auto" w:sz="4" w:space="0"/>
              <w:right w:val="single" w:color="auto" w:sz="4" w:space="0"/>
            </w:tcBorders>
            <w:noWrap w:val="0"/>
            <w:vAlign w:val="center"/>
          </w:tcPr>
          <w:p w14:paraId="08E093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443D7C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18"/>
                <w:szCs w:val="18"/>
                <w:highlight w:val="none"/>
                <w:lang w:eastAsia="zh-CN"/>
              </w:rPr>
            </w:pPr>
            <w:r>
              <w:rPr>
                <w:rFonts w:hint="eastAsia" w:ascii="仿宋_GB2312" w:hAnsi="仿宋_GB2312" w:eastAsia="仿宋_GB2312" w:cs="仿宋_GB2312"/>
                <w:color w:val="000000"/>
                <w:sz w:val="18"/>
                <w:szCs w:val="18"/>
                <w:highlight w:val="none"/>
                <w:lang w:eastAsia="zh-CN"/>
              </w:rPr>
              <w:t>水体巡查</w:t>
            </w:r>
          </w:p>
        </w:tc>
        <w:tc>
          <w:tcPr>
            <w:tcW w:w="1068" w:type="dxa"/>
            <w:tcBorders>
              <w:top w:val="single" w:color="auto" w:sz="4" w:space="0"/>
              <w:left w:val="single" w:color="auto" w:sz="4" w:space="0"/>
              <w:bottom w:val="single" w:color="auto" w:sz="4" w:space="0"/>
              <w:right w:val="single" w:color="auto" w:sz="4" w:space="0"/>
            </w:tcBorders>
            <w:noWrap w:val="0"/>
            <w:vAlign w:val="center"/>
          </w:tcPr>
          <w:p w14:paraId="40A7DF4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定期巡查</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506692A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已完成</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420E7D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526007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389DB71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5448275">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35FAD11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775057B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vMerge w:val="continue"/>
            <w:tcBorders>
              <w:top w:val="single" w:color="auto" w:sz="4" w:space="0"/>
              <w:left w:val="single" w:color="auto" w:sz="4" w:space="0"/>
              <w:bottom w:val="single" w:color="auto" w:sz="4" w:space="0"/>
              <w:right w:val="single" w:color="auto" w:sz="4" w:space="0"/>
            </w:tcBorders>
            <w:noWrap w:val="0"/>
            <w:vAlign w:val="center"/>
          </w:tcPr>
          <w:p w14:paraId="6198AA3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14:paraId="464730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18"/>
                <w:szCs w:val="18"/>
                <w:highlight w:val="none"/>
                <w:lang w:eastAsia="zh-CN"/>
              </w:rPr>
            </w:pPr>
            <w:r>
              <w:rPr>
                <w:rFonts w:hint="eastAsia" w:ascii="仿宋_GB2312" w:hAnsi="仿宋_GB2312" w:eastAsia="仿宋_GB2312" w:cs="仿宋_GB2312"/>
                <w:color w:val="000000"/>
                <w:sz w:val="18"/>
                <w:szCs w:val="18"/>
                <w:highlight w:val="none"/>
                <w:lang w:eastAsia="zh-CN"/>
              </w:rPr>
              <w:t>保洁次数</w:t>
            </w:r>
          </w:p>
        </w:tc>
        <w:tc>
          <w:tcPr>
            <w:tcW w:w="1068" w:type="dxa"/>
            <w:tcBorders>
              <w:top w:val="single" w:color="auto" w:sz="4" w:space="0"/>
              <w:left w:val="single" w:color="auto" w:sz="4" w:space="0"/>
              <w:bottom w:val="single" w:color="auto" w:sz="4" w:space="0"/>
              <w:right w:val="single" w:color="auto" w:sz="4" w:space="0"/>
            </w:tcBorders>
            <w:noWrap w:val="0"/>
            <w:vAlign w:val="center"/>
          </w:tcPr>
          <w:p w14:paraId="7EB0B95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每月一次</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2528A56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已完成</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6F96F6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462305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52EB96D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A63475C">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3E71592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6AF4440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14:paraId="4279CE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561EA9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highlight w:val="none"/>
                <w:lang w:val="en-US" w:eastAsia="zh-CN" w:bidi="ar-SA"/>
              </w:rPr>
            </w:pPr>
            <w:r>
              <w:rPr>
                <w:rFonts w:hint="eastAsia" w:ascii="仿宋_GB2312" w:hAnsi="仿宋_GB2312" w:eastAsia="仿宋_GB2312" w:cs="仿宋_GB2312"/>
                <w:color w:val="000000"/>
                <w:kern w:val="0"/>
                <w:sz w:val="18"/>
                <w:szCs w:val="18"/>
                <w:highlight w:val="none"/>
                <w:lang w:val="en-US" w:eastAsia="zh-CN" w:bidi="ar-SA"/>
              </w:rPr>
              <w:t>各种整治符合环保标准</w:t>
            </w:r>
          </w:p>
        </w:tc>
        <w:tc>
          <w:tcPr>
            <w:tcW w:w="1068" w:type="dxa"/>
            <w:tcBorders>
              <w:top w:val="single" w:color="auto" w:sz="4" w:space="0"/>
              <w:left w:val="single" w:color="auto" w:sz="4" w:space="0"/>
              <w:bottom w:val="single" w:color="auto" w:sz="4" w:space="0"/>
              <w:right w:val="single" w:color="auto" w:sz="4" w:space="0"/>
            </w:tcBorders>
            <w:noWrap w:val="0"/>
            <w:vAlign w:val="center"/>
          </w:tcPr>
          <w:p w14:paraId="456DC9FE">
            <w:pPr>
              <w:widowControl/>
              <w:spacing w:line="240" w:lineRule="exact"/>
              <w:jc w:val="center"/>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完成主要污染物减排目标</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5F772A8D">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完成主要污染物减排目标</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6D261A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6EB977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2AC3CC7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3C4E235">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71AEB4F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7236F84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vMerge w:val="restart"/>
            <w:tcBorders>
              <w:top w:val="single" w:color="auto" w:sz="4" w:space="0"/>
              <w:left w:val="single" w:color="auto" w:sz="4" w:space="0"/>
              <w:bottom w:val="single" w:color="auto" w:sz="4" w:space="0"/>
              <w:right w:val="single" w:color="auto" w:sz="4" w:space="0"/>
            </w:tcBorders>
            <w:noWrap w:val="0"/>
            <w:vAlign w:val="center"/>
          </w:tcPr>
          <w:p w14:paraId="1643A3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381C603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highlight w:val="none"/>
                <w:lang w:val="en-US" w:eastAsia="zh-CN" w:bidi="ar-SA"/>
              </w:rPr>
            </w:pPr>
            <w:r>
              <w:rPr>
                <w:rFonts w:hint="eastAsia" w:ascii="仿宋_GB2312" w:hAnsi="仿宋_GB2312" w:eastAsia="仿宋_GB2312" w:cs="仿宋_GB2312"/>
                <w:color w:val="000000"/>
                <w:sz w:val="18"/>
                <w:szCs w:val="18"/>
                <w:highlight w:val="none"/>
                <w:lang w:val="en-US" w:eastAsia="zh-CN"/>
              </w:rPr>
              <w:t>按期完成年初预算目标</w:t>
            </w:r>
          </w:p>
        </w:tc>
        <w:tc>
          <w:tcPr>
            <w:tcW w:w="1068" w:type="dxa"/>
            <w:tcBorders>
              <w:top w:val="single" w:color="auto" w:sz="4" w:space="0"/>
              <w:left w:val="single" w:color="auto" w:sz="4" w:space="0"/>
              <w:bottom w:val="single" w:color="auto" w:sz="4" w:space="0"/>
              <w:right w:val="single" w:color="auto" w:sz="4" w:space="0"/>
            </w:tcBorders>
            <w:noWrap w:val="0"/>
            <w:vAlign w:val="center"/>
          </w:tcPr>
          <w:p w14:paraId="1B7812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2025/12/31</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3F79A8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2025/12/31</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1D4201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0B3D49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5C26B90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B0496A4">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7B0801F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18777D7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vMerge w:val="continue"/>
            <w:tcBorders>
              <w:top w:val="single" w:color="auto" w:sz="4" w:space="0"/>
              <w:left w:val="single" w:color="auto" w:sz="4" w:space="0"/>
              <w:bottom w:val="single" w:color="auto" w:sz="4" w:space="0"/>
              <w:right w:val="single" w:color="auto" w:sz="4" w:space="0"/>
            </w:tcBorders>
            <w:noWrap w:val="0"/>
            <w:vAlign w:val="center"/>
          </w:tcPr>
          <w:p w14:paraId="5E6DA1D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14:paraId="1A2CC476">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eastAsia="仿宋_GB2312"/>
                <w:kern w:val="0"/>
                <w:sz w:val="20"/>
                <w:szCs w:val="20"/>
                <w:lang w:val="en-US" w:eastAsia="zh-CN"/>
              </w:rPr>
              <w:t>突发事件</w:t>
            </w:r>
          </w:p>
        </w:tc>
        <w:tc>
          <w:tcPr>
            <w:tcW w:w="1068" w:type="dxa"/>
            <w:tcBorders>
              <w:top w:val="single" w:color="auto" w:sz="4" w:space="0"/>
              <w:left w:val="single" w:color="auto" w:sz="4" w:space="0"/>
              <w:bottom w:val="single" w:color="auto" w:sz="4" w:space="0"/>
              <w:right w:val="single" w:color="auto" w:sz="4" w:space="0"/>
            </w:tcBorders>
            <w:noWrap w:val="0"/>
            <w:vAlign w:val="center"/>
          </w:tcPr>
          <w:p w14:paraId="01E3596D">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eastAsia="仿宋_GB2312"/>
                <w:kern w:val="0"/>
                <w:sz w:val="20"/>
                <w:szCs w:val="20"/>
                <w:lang w:eastAsia="zh-CN"/>
              </w:rPr>
              <w:t>即时完成</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6E1716A1">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lang w:val="en-US" w:eastAsia="zh-CN"/>
              </w:rPr>
              <w:t>按时完成</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4B644B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2671C6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2B6C5AB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4CE2032">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2903BD2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3FD6FEA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14:paraId="5E11C0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23A3716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18"/>
                <w:szCs w:val="18"/>
                <w:highlight w:val="none"/>
              </w:rPr>
            </w:pPr>
            <w:r>
              <w:rPr>
                <w:rFonts w:hint="eastAsia" w:ascii="仿宋_GB2312" w:hAnsi="宋体" w:eastAsia="仿宋_GB2312" w:cs="仿宋_GB2312"/>
                <w:i w:val="0"/>
                <w:iCs w:val="0"/>
                <w:color w:val="000000"/>
                <w:kern w:val="0"/>
                <w:sz w:val="18"/>
                <w:szCs w:val="18"/>
                <w:u w:val="none"/>
                <w:lang w:val="en-US" w:eastAsia="zh-CN" w:bidi="ar"/>
              </w:rPr>
              <w:t>所有支出控制在预算内</w:t>
            </w:r>
          </w:p>
        </w:tc>
        <w:tc>
          <w:tcPr>
            <w:tcW w:w="1068" w:type="dxa"/>
            <w:tcBorders>
              <w:top w:val="single" w:color="auto" w:sz="4" w:space="0"/>
              <w:left w:val="single" w:color="auto" w:sz="4" w:space="0"/>
              <w:bottom w:val="single" w:color="auto" w:sz="4" w:space="0"/>
              <w:right w:val="single" w:color="auto" w:sz="4" w:space="0"/>
            </w:tcBorders>
            <w:noWrap w:val="0"/>
            <w:vAlign w:val="center"/>
          </w:tcPr>
          <w:p w14:paraId="78789B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w:t>
            </w:r>
            <w:r>
              <w:rPr>
                <w:rFonts w:hint="eastAsia" w:ascii="仿宋_GB2312" w:hAnsi="仿宋_GB2312" w:eastAsia="仿宋_GB2312" w:cs="仿宋_GB2312"/>
                <w:sz w:val="20"/>
                <w:szCs w:val="20"/>
                <w:highlight w:val="none"/>
                <w:lang w:val="en-US" w:eastAsia="zh-CN"/>
              </w:rPr>
              <w:t>14.76</w:t>
            </w:r>
            <w:r>
              <w:rPr>
                <w:rFonts w:hint="eastAsia" w:ascii="仿宋_GB2312" w:hAnsi="仿宋_GB2312" w:eastAsia="仿宋_GB2312" w:cs="仿宋_GB2312"/>
                <w:color w:val="000000"/>
                <w:sz w:val="20"/>
                <w:szCs w:val="20"/>
                <w:highlight w:val="none"/>
                <w:lang w:val="en-US" w:eastAsia="zh-CN"/>
              </w:rPr>
              <w:t>万元</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693EFC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lang w:val="en-US" w:eastAsia="zh-CN"/>
              </w:rPr>
              <w:t>14.76</w:t>
            </w:r>
            <w:r>
              <w:rPr>
                <w:rFonts w:hint="eastAsia" w:ascii="仿宋_GB2312" w:hAnsi="仿宋_GB2312" w:eastAsia="仿宋_GB2312" w:cs="仿宋_GB2312"/>
                <w:color w:val="000000"/>
                <w:sz w:val="20"/>
                <w:szCs w:val="20"/>
                <w:highlight w:val="none"/>
                <w:lang w:val="en-US" w:eastAsia="zh-CN"/>
              </w:rPr>
              <w:t>万元</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2D89B0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4EA6CA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26B8477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D1DB118">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50B77B2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restart"/>
            <w:tcBorders>
              <w:top w:val="single" w:color="auto" w:sz="4" w:space="0"/>
              <w:left w:val="single" w:color="auto" w:sz="4" w:space="0"/>
              <w:bottom w:val="single" w:color="auto" w:sz="4" w:space="0"/>
              <w:right w:val="single" w:color="auto" w:sz="4" w:space="0"/>
            </w:tcBorders>
            <w:noWrap w:val="0"/>
            <w:vAlign w:val="center"/>
          </w:tcPr>
          <w:p w14:paraId="59E14B6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37F5EBD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69B1DBE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4B6FB9E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53" w:type="dxa"/>
            <w:tcBorders>
              <w:top w:val="single" w:color="auto" w:sz="4" w:space="0"/>
              <w:left w:val="single" w:color="auto" w:sz="4" w:space="0"/>
              <w:bottom w:val="single" w:color="auto" w:sz="4" w:space="0"/>
              <w:right w:val="single" w:color="auto" w:sz="4" w:space="0"/>
            </w:tcBorders>
            <w:noWrap w:val="0"/>
            <w:vAlign w:val="center"/>
          </w:tcPr>
          <w:p w14:paraId="774481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44E496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376B9E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highlight w:val="none"/>
                <w:lang w:val="en-US" w:eastAsia="zh-CN" w:bidi="ar-SA"/>
              </w:rPr>
            </w:pPr>
            <w:r>
              <w:rPr>
                <w:rFonts w:hint="eastAsia" w:ascii="仿宋_GB2312" w:hAnsi="宋体" w:eastAsia="仿宋_GB2312" w:cs="仿宋_GB2312"/>
                <w:i w:val="0"/>
                <w:iCs w:val="0"/>
                <w:color w:val="000000"/>
                <w:kern w:val="0"/>
                <w:sz w:val="18"/>
                <w:szCs w:val="18"/>
                <w:u w:val="none"/>
                <w:lang w:val="en-US" w:eastAsia="zh-CN" w:bidi="ar"/>
              </w:rPr>
              <w:t>实现节能减排，减少环保治理经费</w:t>
            </w:r>
          </w:p>
        </w:tc>
        <w:tc>
          <w:tcPr>
            <w:tcW w:w="1068" w:type="dxa"/>
            <w:tcBorders>
              <w:top w:val="single" w:color="auto" w:sz="4" w:space="0"/>
              <w:left w:val="single" w:color="auto" w:sz="4" w:space="0"/>
              <w:bottom w:val="single" w:color="auto" w:sz="4" w:space="0"/>
              <w:right w:val="single" w:color="auto" w:sz="4" w:space="0"/>
            </w:tcBorders>
            <w:noWrap w:val="0"/>
            <w:vAlign w:val="center"/>
          </w:tcPr>
          <w:p w14:paraId="3951C4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有效改善</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5712FB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有效改善</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0C0862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03D0A0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4ED37C1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04A6F05">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66518E2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5B5CCAB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14:paraId="765667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227E77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4E9B35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highlight w:val="none"/>
                <w:lang w:val="en-US" w:eastAsia="zh-CN" w:bidi="ar-SA"/>
              </w:rPr>
            </w:pPr>
            <w:r>
              <w:rPr>
                <w:rFonts w:hint="eastAsia" w:ascii="仿宋_GB2312" w:hAnsi="仿宋_GB2312" w:eastAsia="仿宋_GB2312" w:cs="仿宋_GB2312"/>
                <w:color w:val="000000"/>
                <w:sz w:val="18"/>
                <w:szCs w:val="18"/>
                <w:highlight w:val="none"/>
              </w:rPr>
              <w:t>改善辖区环境质量及群众生产生活环境，达到环境质量控制目标</w:t>
            </w:r>
          </w:p>
        </w:tc>
        <w:tc>
          <w:tcPr>
            <w:tcW w:w="1068" w:type="dxa"/>
            <w:tcBorders>
              <w:top w:val="single" w:color="auto" w:sz="4" w:space="0"/>
              <w:left w:val="single" w:color="auto" w:sz="4" w:space="0"/>
              <w:bottom w:val="single" w:color="auto" w:sz="4" w:space="0"/>
              <w:right w:val="single" w:color="auto" w:sz="4" w:space="0"/>
            </w:tcBorders>
            <w:noWrap w:val="0"/>
            <w:vAlign w:val="center"/>
          </w:tcPr>
          <w:p w14:paraId="0075A9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有效改善</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22AD7A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有效改善</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6A1F2D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6B21E7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7B1F2FF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B90671A">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0512483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05DFE12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vMerge w:val="restart"/>
            <w:tcBorders>
              <w:top w:val="single" w:color="auto" w:sz="4" w:space="0"/>
              <w:left w:val="single" w:color="auto" w:sz="4" w:space="0"/>
              <w:right w:val="single" w:color="auto" w:sz="4" w:space="0"/>
            </w:tcBorders>
            <w:noWrap w:val="0"/>
            <w:vAlign w:val="center"/>
          </w:tcPr>
          <w:p w14:paraId="3A269A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51B34A3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2EB5271D">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eastAsia="仿宋_GB2312"/>
                <w:kern w:val="0"/>
                <w:sz w:val="20"/>
                <w:szCs w:val="20"/>
                <w:lang w:eastAsia="zh-CN"/>
              </w:rPr>
              <w:t>促进环境质量认知度</w:t>
            </w:r>
          </w:p>
        </w:tc>
        <w:tc>
          <w:tcPr>
            <w:tcW w:w="1068" w:type="dxa"/>
            <w:tcBorders>
              <w:top w:val="single" w:color="auto" w:sz="4" w:space="0"/>
              <w:left w:val="single" w:color="auto" w:sz="4" w:space="0"/>
              <w:bottom w:val="single" w:color="auto" w:sz="4" w:space="0"/>
              <w:right w:val="single" w:color="auto" w:sz="4" w:space="0"/>
            </w:tcBorders>
            <w:noWrap w:val="0"/>
            <w:vAlign w:val="center"/>
          </w:tcPr>
          <w:p w14:paraId="4F285C42">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eastAsia="仿宋_GB2312"/>
                <w:kern w:val="0"/>
                <w:sz w:val="20"/>
                <w:szCs w:val="20"/>
                <w:lang w:eastAsia="zh-CN"/>
              </w:rPr>
              <w:t>有所改善</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6A14CE79">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eastAsia="仿宋_GB2312"/>
                <w:kern w:val="0"/>
                <w:sz w:val="20"/>
                <w:szCs w:val="20"/>
                <w:lang w:eastAsia="zh-CN"/>
              </w:rPr>
              <w:t>有所改善</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326D3F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1152AC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27BB8C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36B6741">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00F2FE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046B760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vMerge w:val="continue"/>
            <w:tcBorders>
              <w:left w:val="single" w:color="auto" w:sz="4" w:space="0"/>
              <w:bottom w:val="single" w:color="auto" w:sz="4" w:space="0"/>
              <w:right w:val="single" w:color="auto" w:sz="4" w:space="0"/>
            </w:tcBorders>
            <w:noWrap w:val="0"/>
            <w:vAlign w:val="center"/>
          </w:tcPr>
          <w:p w14:paraId="7FE117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14:paraId="2B98B3C5">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本区的环境质量得到持续改善</w:t>
            </w:r>
          </w:p>
        </w:tc>
        <w:tc>
          <w:tcPr>
            <w:tcW w:w="1068" w:type="dxa"/>
            <w:tcBorders>
              <w:top w:val="single" w:color="auto" w:sz="4" w:space="0"/>
              <w:left w:val="single" w:color="auto" w:sz="4" w:space="0"/>
              <w:bottom w:val="single" w:color="auto" w:sz="4" w:space="0"/>
              <w:right w:val="single" w:color="auto" w:sz="4" w:space="0"/>
            </w:tcBorders>
            <w:noWrap w:val="0"/>
            <w:vAlign w:val="center"/>
          </w:tcPr>
          <w:p w14:paraId="7031F24A">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有可持续影响</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735B36E9">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本区的环境质量得到持续改善</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25DCD7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5</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19749C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5</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355074B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69C9F13D">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2CF54D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71D81E9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14:paraId="6F2F85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0EBB91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highlight w:val="none"/>
                <w:lang w:val="en-US" w:eastAsia="zh-CN" w:bidi="ar-SA"/>
              </w:rPr>
            </w:pPr>
            <w:r>
              <w:rPr>
                <w:rFonts w:hint="eastAsia" w:ascii="仿宋_GB2312" w:hAnsi="仿宋_GB2312" w:eastAsia="仿宋_GB2312" w:cs="仿宋_GB2312"/>
                <w:color w:val="000000"/>
                <w:kern w:val="0"/>
                <w:sz w:val="18"/>
                <w:szCs w:val="18"/>
                <w:highlight w:val="none"/>
                <w:lang w:val="en-US" w:eastAsia="zh-CN" w:bidi="ar-SA"/>
              </w:rPr>
              <w:t>让群众参与进长效管护机制</w:t>
            </w:r>
          </w:p>
        </w:tc>
        <w:tc>
          <w:tcPr>
            <w:tcW w:w="1068" w:type="dxa"/>
            <w:tcBorders>
              <w:top w:val="single" w:color="auto" w:sz="4" w:space="0"/>
              <w:left w:val="single" w:color="auto" w:sz="4" w:space="0"/>
              <w:bottom w:val="single" w:color="auto" w:sz="4" w:space="0"/>
              <w:right w:val="single" w:color="auto" w:sz="4" w:space="0"/>
            </w:tcBorders>
            <w:noWrap w:val="0"/>
            <w:vAlign w:val="center"/>
          </w:tcPr>
          <w:p w14:paraId="4EA709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效果显著</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7E9873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效果显著</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1AEFD2E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091612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6A5F92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2A17644">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3B7AFCC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8DBFD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3A4884A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32F9D5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53" w:type="dxa"/>
            <w:tcBorders>
              <w:top w:val="single" w:color="auto" w:sz="4" w:space="0"/>
              <w:left w:val="single" w:color="auto" w:sz="4" w:space="0"/>
              <w:bottom w:val="single" w:color="auto" w:sz="4" w:space="0"/>
              <w:right w:val="single" w:color="auto" w:sz="4" w:space="0"/>
            </w:tcBorders>
            <w:noWrap w:val="0"/>
            <w:vAlign w:val="center"/>
          </w:tcPr>
          <w:p w14:paraId="5207ED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68EA01D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highlight w:val="none"/>
                <w:lang w:val="en-US" w:eastAsia="zh-CN" w:bidi="ar-SA"/>
              </w:rPr>
            </w:pPr>
            <w:r>
              <w:rPr>
                <w:rFonts w:hint="eastAsia" w:ascii="仿宋_GB2312" w:hAnsi="宋体" w:eastAsia="仿宋_GB2312" w:cs="仿宋_GB2312"/>
                <w:i w:val="0"/>
                <w:iCs w:val="0"/>
                <w:color w:val="000000"/>
                <w:kern w:val="0"/>
                <w:sz w:val="18"/>
                <w:szCs w:val="18"/>
                <w:u w:val="none"/>
                <w:lang w:val="en-US" w:eastAsia="zh-CN" w:bidi="ar"/>
              </w:rPr>
              <w:t>群众满意率</w:t>
            </w:r>
          </w:p>
        </w:tc>
        <w:tc>
          <w:tcPr>
            <w:tcW w:w="1068" w:type="dxa"/>
            <w:tcBorders>
              <w:top w:val="single" w:color="auto" w:sz="4" w:space="0"/>
              <w:left w:val="single" w:color="auto" w:sz="4" w:space="0"/>
              <w:bottom w:val="single" w:color="auto" w:sz="4" w:space="0"/>
              <w:right w:val="single" w:color="auto" w:sz="4" w:space="0"/>
            </w:tcBorders>
            <w:noWrap w:val="0"/>
            <w:vAlign w:val="center"/>
          </w:tcPr>
          <w:p w14:paraId="5AA64A76">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≥95%</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3EA7428B">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w:t>
            </w:r>
            <w:r>
              <w:rPr>
                <w:rFonts w:hint="eastAsia" w:ascii="仿宋_GB2312" w:hAnsi="仿宋_GB2312" w:eastAsia="仿宋_GB2312" w:cs="仿宋_GB2312"/>
                <w:color w:val="000000"/>
                <w:sz w:val="20"/>
                <w:szCs w:val="20"/>
                <w:lang w:val="en-US" w:eastAsia="zh-CN"/>
              </w:rPr>
              <w:t>9</w:t>
            </w:r>
            <w:r>
              <w:rPr>
                <w:rFonts w:hint="eastAsia" w:ascii="仿宋_GB2312" w:hAnsi="宋体" w:eastAsia="仿宋_GB2312" w:cs="仿宋_GB2312"/>
                <w:i w:val="0"/>
                <w:iCs w:val="0"/>
                <w:color w:val="000000"/>
                <w:kern w:val="0"/>
                <w:sz w:val="20"/>
                <w:szCs w:val="20"/>
                <w:u w:val="none"/>
                <w:lang w:val="en-US" w:eastAsia="zh-CN" w:bidi="ar"/>
              </w:rPr>
              <w:t>5%</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1796E0B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2E4767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8</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582C4B1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F5984BD">
        <w:tblPrEx>
          <w:tblCellMar>
            <w:top w:w="0" w:type="dxa"/>
            <w:left w:w="108" w:type="dxa"/>
            <w:bottom w:w="0" w:type="dxa"/>
            <w:right w:w="108" w:type="dxa"/>
          </w:tblCellMar>
        </w:tblPrEx>
        <w:trPr>
          <w:jc w:val="center"/>
        </w:trPr>
        <w:tc>
          <w:tcPr>
            <w:tcW w:w="6804" w:type="dxa"/>
            <w:gridSpan w:val="6"/>
            <w:tcBorders>
              <w:top w:val="single" w:color="auto" w:sz="4" w:space="0"/>
              <w:left w:val="single" w:color="auto" w:sz="4" w:space="0"/>
              <w:bottom w:val="single" w:color="auto" w:sz="4" w:space="0"/>
              <w:right w:val="single" w:color="auto" w:sz="4" w:space="0"/>
            </w:tcBorders>
            <w:noWrap w:val="0"/>
            <w:vAlign w:val="center"/>
          </w:tcPr>
          <w:p w14:paraId="7C6854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14" w:type="dxa"/>
            <w:tcBorders>
              <w:top w:val="single" w:color="auto" w:sz="4" w:space="0"/>
              <w:left w:val="single" w:color="auto" w:sz="4" w:space="0"/>
              <w:bottom w:val="single" w:color="auto" w:sz="4" w:space="0"/>
              <w:right w:val="single" w:color="auto" w:sz="4" w:space="0"/>
            </w:tcBorders>
            <w:noWrap w:val="0"/>
            <w:vAlign w:val="center"/>
          </w:tcPr>
          <w:p w14:paraId="5CBB81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24065A9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98</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6C11D74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3F6DED34">
      <w:pPr>
        <w:rPr>
          <w:rFonts w:hint="default" w:ascii="Times New Roman" w:hAnsi="Times New Roman" w:eastAsia="仿宋_GB2312" w:cs="Times New Roman"/>
          <w:sz w:val="22"/>
          <w:szCs w:val="22"/>
          <w:highlight w:val="none"/>
          <w:lang w:val="en-US" w:eastAsia="zh-CN"/>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r>
        <w:rPr>
          <w:rFonts w:hint="default" w:ascii="Times New Roman" w:hAnsi="Times New Roman" w:eastAsia="仿宋_GB2312" w:cs="Times New Roman"/>
          <w:sz w:val="22"/>
          <w:szCs w:val="22"/>
          <w:highlight w:val="none"/>
        </w:rPr>
        <w:t>填表人</w:t>
      </w:r>
      <w:r>
        <w:rPr>
          <w:rFonts w:hint="eastAsia" w:ascii="Times New Roman" w:hAnsi="Times New Roman" w:eastAsia="仿宋_GB2312" w:cs="Times New Roman"/>
          <w:sz w:val="22"/>
          <w:szCs w:val="22"/>
          <w:highlight w:val="none"/>
          <w:lang w:val="en-US" w:eastAsia="zh-CN"/>
        </w:rPr>
        <w:t>黄娟</w:t>
      </w:r>
      <w:r>
        <w:rPr>
          <w:rFonts w:hint="default" w:ascii="Times New Roman" w:hAnsi="Times New Roman" w:eastAsia="仿宋_GB2312" w:cs="Times New Roman"/>
          <w:sz w:val="22"/>
          <w:szCs w:val="22"/>
          <w:highlight w:val="none"/>
        </w:rPr>
        <w:t xml:space="preserve">  填报日期</w:t>
      </w:r>
      <w:r>
        <w:rPr>
          <w:rFonts w:hint="eastAsia" w:ascii="Times New Roman" w:hAnsi="Times New Roman" w:eastAsia="仿宋_GB2312" w:cs="Times New Roman"/>
          <w:sz w:val="22"/>
          <w:szCs w:val="22"/>
          <w:highlight w:val="none"/>
          <w:lang w:val="en-US" w:eastAsia="zh-CN"/>
        </w:rPr>
        <w:t>2026年6月1日</w:t>
      </w:r>
      <w:r>
        <w:rPr>
          <w:rFonts w:hint="default" w:ascii="Times New Roman" w:hAnsi="Times New Roman" w:eastAsia="仿宋_GB2312" w:cs="Times New Roman"/>
          <w:sz w:val="22"/>
          <w:szCs w:val="22"/>
          <w:highlight w:val="none"/>
        </w:rPr>
        <w:t xml:space="preserve"> 联系电话</w:t>
      </w:r>
      <w:r>
        <w:rPr>
          <w:rFonts w:hint="eastAsia" w:ascii="Times New Roman" w:hAnsi="Times New Roman" w:eastAsia="仿宋_GB2312" w:cs="Times New Roman"/>
          <w:sz w:val="22"/>
          <w:szCs w:val="22"/>
          <w:highlight w:val="none"/>
          <w:lang w:val="en-US" w:eastAsia="zh-CN"/>
        </w:rPr>
        <w:t>15575068909</w:t>
      </w:r>
      <w:r>
        <w:rPr>
          <w:rFonts w:hint="default" w:ascii="Times New Roman" w:hAnsi="Times New Roman" w:eastAsia="仿宋_GB2312" w:cs="Times New Roman"/>
          <w:sz w:val="22"/>
          <w:szCs w:val="22"/>
          <w:highlight w:val="none"/>
        </w:rPr>
        <w:t xml:space="preserve"> 单位负责人签字：</w:t>
      </w:r>
      <w:r>
        <w:rPr>
          <w:rFonts w:hint="eastAsia" w:ascii="Times New Roman" w:hAnsi="Times New Roman" w:eastAsia="仿宋_GB2312" w:cs="Times New Roman"/>
          <w:sz w:val="22"/>
          <w:szCs w:val="22"/>
          <w:highlight w:val="none"/>
          <w:lang w:val="en-US" w:eastAsia="zh-CN"/>
        </w:rPr>
        <w:t>李雄</w:t>
      </w:r>
    </w:p>
    <w:p w14:paraId="29080C21">
      <w:pPr>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57109238">
      <w:pPr>
        <w:widowControl/>
        <w:spacing w:line="600" w:lineRule="exact"/>
        <w:jc w:val="center"/>
        <w:rPr>
          <w:rFonts w:hint="eastAsia" w:ascii="方正小标宋简体" w:hAnsi="方正小标宋简体" w:eastAsia="方正小标宋简体" w:cs="方正小标宋简体"/>
          <w:color w:val="000000"/>
          <w:sz w:val="36"/>
          <w:szCs w:val="36"/>
          <w:highlight w:val="none"/>
          <w:lang w:val="en-US" w:eastAsia="zh-CN"/>
        </w:rPr>
      </w:pPr>
      <w:r>
        <w:rPr>
          <w:rFonts w:hint="eastAsia" w:ascii="方正小标宋简体" w:hAnsi="方正小标宋简体" w:eastAsia="方正小标宋简体" w:cs="方正小标宋简体"/>
          <w:color w:val="000000"/>
          <w:sz w:val="36"/>
          <w:szCs w:val="36"/>
          <w:highlight w:val="none"/>
          <w:lang w:val="en-US" w:eastAsia="zh-CN"/>
        </w:rPr>
        <w:t>2025年度项目支出绩效自评表</w:t>
      </w:r>
    </w:p>
    <w:tbl>
      <w:tblPr>
        <w:tblStyle w:val="10"/>
        <w:tblW w:w="9851" w:type="dxa"/>
        <w:jc w:val="center"/>
        <w:tblLayout w:type="fixed"/>
        <w:tblCellMar>
          <w:top w:w="0" w:type="dxa"/>
          <w:left w:w="108" w:type="dxa"/>
          <w:bottom w:w="0" w:type="dxa"/>
          <w:right w:w="108" w:type="dxa"/>
        </w:tblCellMar>
      </w:tblPr>
      <w:tblGrid>
        <w:gridCol w:w="1058"/>
        <w:gridCol w:w="1065"/>
        <w:gridCol w:w="1053"/>
        <w:gridCol w:w="1240"/>
        <w:gridCol w:w="1275"/>
        <w:gridCol w:w="1194"/>
        <w:gridCol w:w="733"/>
        <w:gridCol w:w="861"/>
        <w:gridCol w:w="1372"/>
      </w:tblGrid>
      <w:tr w14:paraId="5543A083">
        <w:tblPrEx>
          <w:tblCellMar>
            <w:top w:w="0" w:type="dxa"/>
            <w:left w:w="108" w:type="dxa"/>
            <w:bottom w:w="0" w:type="dxa"/>
            <w:right w:w="108" w:type="dxa"/>
          </w:tblCellMar>
        </w:tblPrEx>
        <w:trPr>
          <w:jc w:val="center"/>
        </w:trPr>
        <w:tc>
          <w:tcPr>
            <w:tcW w:w="1058" w:type="dxa"/>
            <w:tcBorders>
              <w:top w:val="single" w:color="auto" w:sz="4" w:space="0"/>
              <w:left w:val="single" w:color="auto" w:sz="4" w:space="0"/>
              <w:bottom w:val="single" w:color="auto" w:sz="4" w:space="0"/>
              <w:right w:val="single" w:color="auto" w:sz="4" w:space="0"/>
            </w:tcBorders>
            <w:noWrap w:val="0"/>
            <w:vAlign w:val="center"/>
          </w:tcPr>
          <w:p w14:paraId="02DB91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758F1F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93" w:type="dxa"/>
            <w:gridSpan w:val="8"/>
            <w:tcBorders>
              <w:top w:val="single" w:color="auto" w:sz="4" w:space="0"/>
              <w:left w:val="nil"/>
              <w:bottom w:val="single" w:color="auto" w:sz="4" w:space="0"/>
              <w:right w:val="single" w:color="auto" w:sz="4" w:space="0"/>
            </w:tcBorders>
            <w:noWrap w:val="0"/>
            <w:vAlign w:val="center"/>
          </w:tcPr>
          <w:p w14:paraId="1C39FA0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办案费</w:t>
            </w:r>
          </w:p>
        </w:tc>
      </w:tr>
      <w:tr w14:paraId="7185C175">
        <w:tblPrEx>
          <w:tblCellMar>
            <w:top w:w="0" w:type="dxa"/>
            <w:left w:w="108" w:type="dxa"/>
            <w:bottom w:w="0" w:type="dxa"/>
            <w:right w:w="108" w:type="dxa"/>
          </w:tblCellMar>
        </w:tblPrEx>
        <w:trPr>
          <w:jc w:val="center"/>
        </w:trPr>
        <w:tc>
          <w:tcPr>
            <w:tcW w:w="1058" w:type="dxa"/>
            <w:tcBorders>
              <w:top w:val="nil"/>
              <w:left w:val="single" w:color="auto" w:sz="4" w:space="0"/>
              <w:bottom w:val="single" w:color="auto" w:sz="4" w:space="0"/>
              <w:right w:val="single" w:color="auto" w:sz="4" w:space="0"/>
            </w:tcBorders>
            <w:noWrap w:val="0"/>
            <w:vAlign w:val="center"/>
          </w:tcPr>
          <w:p w14:paraId="1C578D7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633" w:type="dxa"/>
            <w:gridSpan w:val="4"/>
            <w:tcBorders>
              <w:top w:val="single" w:color="auto" w:sz="4" w:space="0"/>
              <w:left w:val="nil"/>
              <w:bottom w:val="single" w:color="auto" w:sz="4" w:space="0"/>
              <w:right w:val="single" w:color="auto" w:sz="4" w:space="0"/>
            </w:tcBorders>
            <w:noWrap w:val="0"/>
            <w:vAlign w:val="center"/>
          </w:tcPr>
          <w:p w14:paraId="09E8DA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岳阳市生态环境局</w:t>
            </w:r>
          </w:p>
        </w:tc>
        <w:tc>
          <w:tcPr>
            <w:tcW w:w="1194" w:type="dxa"/>
            <w:tcBorders>
              <w:top w:val="single" w:color="auto" w:sz="4" w:space="0"/>
              <w:left w:val="nil"/>
              <w:bottom w:val="single" w:color="auto" w:sz="4" w:space="0"/>
              <w:right w:val="single" w:color="000000" w:sz="4" w:space="0"/>
            </w:tcBorders>
            <w:noWrap w:val="0"/>
            <w:vAlign w:val="center"/>
          </w:tcPr>
          <w:p w14:paraId="6EC344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2966" w:type="dxa"/>
            <w:gridSpan w:val="3"/>
            <w:tcBorders>
              <w:top w:val="single" w:color="auto" w:sz="4" w:space="0"/>
              <w:left w:val="nil"/>
              <w:bottom w:val="single" w:color="auto" w:sz="4" w:space="0"/>
              <w:right w:val="single" w:color="auto" w:sz="4" w:space="0"/>
            </w:tcBorders>
            <w:noWrap w:val="0"/>
            <w:vAlign w:val="center"/>
          </w:tcPr>
          <w:p w14:paraId="3BA29B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岳阳市生态环境局屈原分局</w:t>
            </w:r>
          </w:p>
        </w:tc>
      </w:tr>
      <w:tr w14:paraId="227ED304">
        <w:tblPrEx>
          <w:tblCellMar>
            <w:top w:w="0" w:type="dxa"/>
            <w:left w:w="108" w:type="dxa"/>
            <w:bottom w:w="0" w:type="dxa"/>
            <w:right w:w="108" w:type="dxa"/>
          </w:tblCellMar>
        </w:tblPrEx>
        <w:trPr>
          <w:jc w:val="center"/>
        </w:trPr>
        <w:tc>
          <w:tcPr>
            <w:tcW w:w="1058" w:type="dxa"/>
            <w:vMerge w:val="restart"/>
            <w:tcBorders>
              <w:top w:val="nil"/>
              <w:left w:val="single" w:color="auto" w:sz="4" w:space="0"/>
              <w:bottom w:val="single" w:color="000000" w:sz="4" w:space="0"/>
              <w:right w:val="single" w:color="auto" w:sz="4" w:space="0"/>
            </w:tcBorders>
            <w:noWrap w:val="0"/>
            <w:vAlign w:val="center"/>
          </w:tcPr>
          <w:p w14:paraId="6CB2BE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18" w:type="dxa"/>
            <w:gridSpan w:val="2"/>
            <w:tcBorders>
              <w:top w:val="nil"/>
              <w:left w:val="nil"/>
              <w:bottom w:val="single" w:color="auto" w:sz="4" w:space="0"/>
              <w:right w:val="single" w:color="auto" w:sz="4" w:space="0"/>
            </w:tcBorders>
            <w:noWrap w:val="0"/>
            <w:vAlign w:val="center"/>
          </w:tcPr>
          <w:p w14:paraId="7B8599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40" w:type="dxa"/>
            <w:tcBorders>
              <w:top w:val="nil"/>
              <w:left w:val="nil"/>
              <w:bottom w:val="single" w:color="auto" w:sz="4" w:space="0"/>
              <w:right w:val="single" w:color="auto" w:sz="4" w:space="0"/>
            </w:tcBorders>
            <w:noWrap w:val="0"/>
            <w:vAlign w:val="center"/>
          </w:tcPr>
          <w:p w14:paraId="3C288A8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563B93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275" w:type="dxa"/>
            <w:tcBorders>
              <w:top w:val="nil"/>
              <w:left w:val="nil"/>
              <w:bottom w:val="single" w:color="auto" w:sz="4" w:space="0"/>
              <w:right w:val="single" w:color="auto" w:sz="4" w:space="0"/>
            </w:tcBorders>
            <w:noWrap w:val="0"/>
            <w:vAlign w:val="center"/>
          </w:tcPr>
          <w:p w14:paraId="3ECEE5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0C9186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94" w:type="dxa"/>
            <w:tcBorders>
              <w:top w:val="nil"/>
              <w:left w:val="nil"/>
              <w:bottom w:val="single" w:color="auto" w:sz="4" w:space="0"/>
              <w:right w:val="single" w:color="auto" w:sz="4" w:space="0"/>
            </w:tcBorders>
            <w:noWrap w:val="0"/>
            <w:vAlign w:val="center"/>
          </w:tcPr>
          <w:p w14:paraId="0C22BF1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227C7EC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733" w:type="dxa"/>
            <w:tcBorders>
              <w:top w:val="nil"/>
              <w:left w:val="nil"/>
              <w:bottom w:val="single" w:color="auto" w:sz="4" w:space="0"/>
              <w:right w:val="single" w:color="auto" w:sz="4" w:space="0"/>
            </w:tcBorders>
            <w:noWrap w:val="0"/>
            <w:vAlign w:val="center"/>
          </w:tcPr>
          <w:p w14:paraId="2D6BB27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61" w:type="dxa"/>
            <w:tcBorders>
              <w:top w:val="nil"/>
              <w:left w:val="nil"/>
              <w:bottom w:val="single" w:color="auto" w:sz="4" w:space="0"/>
              <w:right w:val="single" w:color="auto" w:sz="4" w:space="0"/>
            </w:tcBorders>
            <w:noWrap w:val="0"/>
            <w:vAlign w:val="center"/>
          </w:tcPr>
          <w:p w14:paraId="0DE7E94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372" w:type="dxa"/>
            <w:tcBorders>
              <w:top w:val="nil"/>
              <w:left w:val="nil"/>
              <w:bottom w:val="single" w:color="auto" w:sz="4" w:space="0"/>
              <w:right w:val="single" w:color="auto" w:sz="4" w:space="0"/>
            </w:tcBorders>
            <w:noWrap w:val="0"/>
            <w:vAlign w:val="center"/>
          </w:tcPr>
          <w:p w14:paraId="2EEDAA2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16318F80">
        <w:tblPrEx>
          <w:tblCellMar>
            <w:top w:w="0" w:type="dxa"/>
            <w:left w:w="108" w:type="dxa"/>
            <w:bottom w:w="0" w:type="dxa"/>
            <w:right w:w="108" w:type="dxa"/>
          </w:tblCellMar>
        </w:tblPrEx>
        <w:trPr>
          <w:jc w:val="center"/>
        </w:trPr>
        <w:tc>
          <w:tcPr>
            <w:tcW w:w="1058" w:type="dxa"/>
            <w:vMerge w:val="continue"/>
            <w:tcBorders>
              <w:top w:val="nil"/>
              <w:left w:val="single" w:color="auto" w:sz="4" w:space="0"/>
              <w:bottom w:val="single" w:color="000000" w:sz="4" w:space="0"/>
              <w:right w:val="single" w:color="auto" w:sz="4" w:space="0"/>
            </w:tcBorders>
            <w:noWrap w:val="0"/>
            <w:vAlign w:val="center"/>
          </w:tcPr>
          <w:p w14:paraId="46DD557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18" w:type="dxa"/>
            <w:gridSpan w:val="2"/>
            <w:tcBorders>
              <w:top w:val="nil"/>
              <w:left w:val="nil"/>
              <w:bottom w:val="single" w:color="auto" w:sz="4" w:space="0"/>
              <w:right w:val="single" w:color="auto" w:sz="4" w:space="0"/>
            </w:tcBorders>
            <w:noWrap w:val="0"/>
            <w:vAlign w:val="center"/>
          </w:tcPr>
          <w:p w14:paraId="5F05204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40" w:type="dxa"/>
            <w:tcBorders>
              <w:top w:val="nil"/>
              <w:left w:val="nil"/>
              <w:bottom w:val="single" w:color="auto" w:sz="4" w:space="0"/>
              <w:right w:val="single" w:color="auto" w:sz="4" w:space="0"/>
            </w:tcBorders>
            <w:noWrap w:val="0"/>
            <w:vAlign w:val="center"/>
          </w:tcPr>
          <w:p w14:paraId="5A4760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1275" w:type="dxa"/>
            <w:tcBorders>
              <w:top w:val="nil"/>
              <w:left w:val="nil"/>
              <w:bottom w:val="single" w:color="auto" w:sz="4" w:space="0"/>
              <w:right w:val="single" w:color="auto" w:sz="4" w:space="0"/>
            </w:tcBorders>
            <w:noWrap w:val="0"/>
            <w:vAlign w:val="center"/>
          </w:tcPr>
          <w:p w14:paraId="46E157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default" w:ascii="仿宋_GB2312" w:hAnsi="仿宋_GB2312" w:eastAsia="仿宋_GB2312" w:cs="仿宋_GB2312"/>
                <w:sz w:val="20"/>
                <w:szCs w:val="20"/>
                <w:highlight w:val="none"/>
                <w:lang w:val="en-US" w:eastAsia="zh-CN"/>
              </w:rPr>
              <w:t>21.31</w:t>
            </w:r>
          </w:p>
        </w:tc>
        <w:tc>
          <w:tcPr>
            <w:tcW w:w="1194" w:type="dxa"/>
            <w:tcBorders>
              <w:top w:val="nil"/>
              <w:left w:val="nil"/>
              <w:bottom w:val="single" w:color="auto" w:sz="4" w:space="0"/>
              <w:right w:val="single" w:color="auto" w:sz="4" w:space="0"/>
            </w:tcBorders>
            <w:noWrap w:val="0"/>
            <w:vAlign w:val="center"/>
          </w:tcPr>
          <w:p w14:paraId="3AFABF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default" w:ascii="仿宋_GB2312" w:hAnsi="仿宋_GB2312" w:eastAsia="仿宋_GB2312" w:cs="仿宋_GB2312"/>
                <w:sz w:val="20"/>
                <w:szCs w:val="20"/>
                <w:highlight w:val="none"/>
                <w:lang w:val="en-US" w:eastAsia="zh-CN"/>
              </w:rPr>
              <w:t>21.31</w:t>
            </w:r>
          </w:p>
        </w:tc>
        <w:tc>
          <w:tcPr>
            <w:tcW w:w="733" w:type="dxa"/>
            <w:tcBorders>
              <w:top w:val="nil"/>
              <w:left w:val="nil"/>
              <w:bottom w:val="single" w:color="auto" w:sz="4" w:space="0"/>
              <w:right w:val="single" w:color="auto" w:sz="4" w:space="0"/>
            </w:tcBorders>
            <w:noWrap w:val="0"/>
            <w:vAlign w:val="center"/>
          </w:tcPr>
          <w:p w14:paraId="4BC3F4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w:t>
            </w:r>
          </w:p>
        </w:tc>
        <w:tc>
          <w:tcPr>
            <w:tcW w:w="861" w:type="dxa"/>
            <w:tcBorders>
              <w:top w:val="nil"/>
              <w:left w:val="nil"/>
              <w:bottom w:val="single" w:color="auto" w:sz="4" w:space="0"/>
              <w:right w:val="single" w:color="auto" w:sz="4" w:space="0"/>
            </w:tcBorders>
            <w:noWrap w:val="0"/>
            <w:vAlign w:val="center"/>
          </w:tcPr>
          <w:p w14:paraId="134B8D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372" w:type="dxa"/>
            <w:tcBorders>
              <w:top w:val="nil"/>
              <w:left w:val="nil"/>
              <w:bottom w:val="single" w:color="auto" w:sz="4" w:space="0"/>
              <w:right w:val="single" w:color="auto" w:sz="4" w:space="0"/>
            </w:tcBorders>
            <w:noWrap w:val="0"/>
            <w:vAlign w:val="center"/>
          </w:tcPr>
          <w:p w14:paraId="47213B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r>
      <w:tr w14:paraId="767C4283">
        <w:tblPrEx>
          <w:tblCellMar>
            <w:top w:w="0" w:type="dxa"/>
            <w:left w:w="108" w:type="dxa"/>
            <w:bottom w:w="0" w:type="dxa"/>
            <w:right w:w="108" w:type="dxa"/>
          </w:tblCellMar>
        </w:tblPrEx>
        <w:trPr>
          <w:jc w:val="center"/>
        </w:trPr>
        <w:tc>
          <w:tcPr>
            <w:tcW w:w="1058" w:type="dxa"/>
            <w:vMerge w:val="continue"/>
            <w:tcBorders>
              <w:top w:val="nil"/>
              <w:left w:val="single" w:color="auto" w:sz="4" w:space="0"/>
              <w:bottom w:val="single" w:color="000000" w:sz="4" w:space="0"/>
              <w:right w:val="single" w:color="auto" w:sz="4" w:space="0"/>
            </w:tcBorders>
            <w:noWrap w:val="0"/>
            <w:vAlign w:val="center"/>
          </w:tcPr>
          <w:p w14:paraId="36ABDA6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18" w:type="dxa"/>
            <w:gridSpan w:val="2"/>
            <w:tcBorders>
              <w:top w:val="nil"/>
              <w:left w:val="nil"/>
              <w:bottom w:val="single" w:color="auto" w:sz="4" w:space="0"/>
              <w:right w:val="single" w:color="auto" w:sz="4" w:space="0"/>
            </w:tcBorders>
            <w:noWrap w:val="0"/>
            <w:vAlign w:val="center"/>
          </w:tcPr>
          <w:p w14:paraId="2EBBC13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40" w:type="dxa"/>
            <w:tcBorders>
              <w:top w:val="nil"/>
              <w:left w:val="nil"/>
              <w:bottom w:val="single" w:color="auto" w:sz="4" w:space="0"/>
              <w:right w:val="single" w:color="auto" w:sz="4" w:space="0"/>
            </w:tcBorders>
            <w:noWrap w:val="0"/>
            <w:vAlign w:val="center"/>
          </w:tcPr>
          <w:p w14:paraId="79C164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w:t>
            </w:r>
          </w:p>
        </w:tc>
        <w:tc>
          <w:tcPr>
            <w:tcW w:w="1275" w:type="dxa"/>
            <w:tcBorders>
              <w:top w:val="nil"/>
              <w:left w:val="nil"/>
              <w:bottom w:val="single" w:color="auto" w:sz="4" w:space="0"/>
              <w:right w:val="single" w:color="auto" w:sz="4" w:space="0"/>
            </w:tcBorders>
            <w:noWrap w:val="0"/>
            <w:vAlign w:val="center"/>
          </w:tcPr>
          <w:p w14:paraId="5C5CE0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default" w:ascii="仿宋_GB2312" w:hAnsi="仿宋_GB2312" w:eastAsia="仿宋_GB2312" w:cs="仿宋_GB2312"/>
                <w:sz w:val="20"/>
                <w:szCs w:val="20"/>
                <w:highlight w:val="none"/>
                <w:lang w:val="en-US" w:eastAsia="zh-CN"/>
              </w:rPr>
              <w:t>21.31</w:t>
            </w:r>
          </w:p>
        </w:tc>
        <w:tc>
          <w:tcPr>
            <w:tcW w:w="1194" w:type="dxa"/>
            <w:tcBorders>
              <w:top w:val="nil"/>
              <w:left w:val="nil"/>
              <w:bottom w:val="single" w:color="auto" w:sz="4" w:space="0"/>
              <w:right w:val="single" w:color="auto" w:sz="4" w:space="0"/>
            </w:tcBorders>
            <w:noWrap w:val="0"/>
            <w:vAlign w:val="center"/>
          </w:tcPr>
          <w:p w14:paraId="073D24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default" w:ascii="仿宋_GB2312" w:hAnsi="仿宋_GB2312" w:eastAsia="仿宋_GB2312" w:cs="仿宋_GB2312"/>
                <w:sz w:val="20"/>
                <w:szCs w:val="20"/>
                <w:highlight w:val="none"/>
                <w:lang w:val="en-US" w:eastAsia="zh-CN"/>
              </w:rPr>
              <w:t>21.31</w:t>
            </w:r>
          </w:p>
        </w:tc>
        <w:tc>
          <w:tcPr>
            <w:tcW w:w="733" w:type="dxa"/>
            <w:tcBorders>
              <w:top w:val="nil"/>
              <w:left w:val="nil"/>
              <w:bottom w:val="single" w:color="auto" w:sz="4" w:space="0"/>
              <w:right w:val="single" w:color="auto" w:sz="4" w:space="0"/>
            </w:tcBorders>
            <w:noWrap w:val="0"/>
            <w:vAlign w:val="center"/>
          </w:tcPr>
          <w:p w14:paraId="08E31C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861" w:type="dxa"/>
            <w:tcBorders>
              <w:top w:val="nil"/>
              <w:left w:val="nil"/>
              <w:bottom w:val="single" w:color="auto" w:sz="4" w:space="0"/>
              <w:right w:val="single" w:color="auto" w:sz="4" w:space="0"/>
            </w:tcBorders>
            <w:noWrap w:val="0"/>
            <w:vAlign w:val="center"/>
          </w:tcPr>
          <w:p w14:paraId="5730EE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372" w:type="dxa"/>
            <w:tcBorders>
              <w:top w:val="nil"/>
              <w:left w:val="nil"/>
              <w:bottom w:val="single" w:color="auto" w:sz="4" w:space="0"/>
              <w:right w:val="single" w:color="auto" w:sz="4" w:space="0"/>
            </w:tcBorders>
            <w:noWrap w:val="0"/>
            <w:vAlign w:val="center"/>
          </w:tcPr>
          <w:p w14:paraId="0CA2F9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r>
      <w:tr w14:paraId="598B86B3">
        <w:tblPrEx>
          <w:tblCellMar>
            <w:top w:w="0" w:type="dxa"/>
            <w:left w:w="108" w:type="dxa"/>
            <w:bottom w:w="0" w:type="dxa"/>
            <w:right w:w="108" w:type="dxa"/>
          </w:tblCellMar>
        </w:tblPrEx>
        <w:trPr>
          <w:jc w:val="center"/>
        </w:trPr>
        <w:tc>
          <w:tcPr>
            <w:tcW w:w="1058" w:type="dxa"/>
            <w:vMerge w:val="continue"/>
            <w:tcBorders>
              <w:top w:val="nil"/>
              <w:left w:val="single" w:color="auto" w:sz="4" w:space="0"/>
              <w:bottom w:val="single" w:color="000000" w:sz="4" w:space="0"/>
              <w:right w:val="single" w:color="auto" w:sz="4" w:space="0"/>
            </w:tcBorders>
            <w:noWrap w:val="0"/>
            <w:vAlign w:val="center"/>
          </w:tcPr>
          <w:p w14:paraId="30713D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18" w:type="dxa"/>
            <w:gridSpan w:val="2"/>
            <w:tcBorders>
              <w:top w:val="nil"/>
              <w:left w:val="nil"/>
              <w:bottom w:val="single" w:color="auto" w:sz="4" w:space="0"/>
              <w:right w:val="single" w:color="auto" w:sz="4" w:space="0"/>
            </w:tcBorders>
            <w:noWrap w:val="0"/>
            <w:vAlign w:val="center"/>
          </w:tcPr>
          <w:p w14:paraId="337D5EAB">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40" w:type="dxa"/>
            <w:tcBorders>
              <w:top w:val="nil"/>
              <w:left w:val="nil"/>
              <w:bottom w:val="single" w:color="auto" w:sz="4" w:space="0"/>
              <w:right w:val="single" w:color="auto" w:sz="4" w:space="0"/>
            </w:tcBorders>
            <w:noWrap w:val="0"/>
            <w:vAlign w:val="center"/>
          </w:tcPr>
          <w:p w14:paraId="573ADD8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75" w:type="dxa"/>
            <w:tcBorders>
              <w:top w:val="nil"/>
              <w:left w:val="nil"/>
              <w:bottom w:val="single" w:color="auto" w:sz="4" w:space="0"/>
              <w:right w:val="single" w:color="auto" w:sz="4" w:space="0"/>
            </w:tcBorders>
            <w:noWrap w:val="0"/>
            <w:vAlign w:val="center"/>
          </w:tcPr>
          <w:p w14:paraId="7C96A68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94" w:type="dxa"/>
            <w:tcBorders>
              <w:top w:val="nil"/>
              <w:left w:val="nil"/>
              <w:bottom w:val="single" w:color="auto" w:sz="4" w:space="0"/>
              <w:right w:val="single" w:color="auto" w:sz="4" w:space="0"/>
            </w:tcBorders>
            <w:noWrap w:val="0"/>
            <w:vAlign w:val="center"/>
          </w:tcPr>
          <w:p w14:paraId="7A6CEE3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33" w:type="dxa"/>
            <w:tcBorders>
              <w:top w:val="nil"/>
              <w:left w:val="nil"/>
              <w:bottom w:val="single" w:color="auto" w:sz="4" w:space="0"/>
              <w:right w:val="single" w:color="auto" w:sz="4" w:space="0"/>
            </w:tcBorders>
            <w:noWrap w:val="0"/>
            <w:vAlign w:val="center"/>
          </w:tcPr>
          <w:p w14:paraId="0AC87DB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61" w:type="dxa"/>
            <w:tcBorders>
              <w:top w:val="nil"/>
              <w:left w:val="nil"/>
              <w:bottom w:val="single" w:color="auto" w:sz="4" w:space="0"/>
              <w:right w:val="single" w:color="auto" w:sz="4" w:space="0"/>
            </w:tcBorders>
            <w:noWrap w:val="0"/>
            <w:vAlign w:val="center"/>
          </w:tcPr>
          <w:p w14:paraId="4C6C38A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372" w:type="dxa"/>
            <w:tcBorders>
              <w:top w:val="nil"/>
              <w:left w:val="nil"/>
              <w:bottom w:val="single" w:color="auto" w:sz="4" w:space="0"/>
              <w:right w:val="single" w:color="auto" w:sz="4" w:space="0"/>
            </w:tcBorders>
            <w:noWrap w:val="0"/>
            <w:vAlign w:val="center"/>
          </w:tcPr>
          <w:p w14:paraId="56630F1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50E8F05">
        <w:tblPrEx>
          <w:tblCellMar>
            <w:top w:w="0" w:type="dxa"/>
            <w:left w:w="108" w:type="dxa"/>
            <w:bottom w:w="0" w:type="dxa"/>
            <w:right w:w="108" w:type="dxa"/>
          </w:tblCellMar>
        </w:tblPrEx>
        <w:trPr>
          <w:jc w:val="center"/>
        </w:trPr>
        <w:tc>
          <w:tcPr>
            <w:tcW w:w="1058" w:type="dxa"/>
            <w:vMerge w:val="continue"/>
            <w:tcBorders>
              <w:top w:val="nil"/>
              <w:left w:val="single" w:color="auto" w:sz="4" w:space="0"/>
              <w:bottom w:val="single" w:color="000000" w:sz="4" w:space="0"/>
              <w:right w:val="single" w:color="auto" w:sz="4" w:space="0"/>
            </w:tcBorders>
            <w:noWrap w:val="0"/>
            <w:vAlign w:val="center"/>
          </w:tcPr>
          <w:p w14:paraId="120D28E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18" w:type="dxa"/>
            <w:gridSpan w:val="2"/>
            <w:tcBorders>
              <w:top w:val="nil"/>
              <w:left w:val="nil"/>
              <w:bottom w:val="single" w:color="auto" w:sz="4" w:space="0"/>
              <w:right w:val="single" w:color="auto" w:sz="4" w:space="0"/>
            </w:tcBorders>
            <w:noWrap w:val="0"/>
            <w:vAlign w:val="center"/>
          </w:tcPr>
          <w:p w14:paraId="13360584">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40" w:type="dxa"/>
            <w:tcBorders>
              <w:top w:val="nil"/>
              <w:left w:val="nil"/>
              <w:bottom w:val="single" w:color="auto" w:sz="4" w:space="0"/>
              <w:right w:val="single" w:color="auto" w:sz="4" w:space="0"/>
            </w:tcBorders>
            <w:noWrap w:val="0"/>
            <w:vAlign w:val="center"/>
          </w:tcPr>
          <w:p w14:paraId="2ABB95F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75" w:type="dxa"/>
            <w:tcBorders>
              <w:top w:val="nil"/>
              <w:left w:val="nil"/>
              <w:bottom w:val="single" w:color="auto" w:sz="4" w:space="0"/>
              <w:right w:val="single" w:color="auto" w:sz="4" w:space="0"/>
            </w:tcBorders>
            <w:noWrap w:val="0"/>
            <w:vAlign w:val="center"/>
          </w:tcPr>
          <w:p w14:paraId="2398998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94" w:type="dxa"/>
            <w:tcBorders>
              <w:top w:val="nil"/>
              <w:left w:val="nil"/>
              <w:bottom w:val="single" w:color="auto" w:sz="4" w:space="0"/>
              <w:right w:val="single" w:color="auto" w:sz="4" w:space="0"/>
            </w:tcBorders>
            <w:noWrap w:val="0"/>
            <w:vAlign w:val="center"/>
          </w:tcPr>
          <w:p w14:paraId="28B0B7B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33" w:type="dxa"/>
            <w:tcBorders>
              <w:top w:val="nil"/>
              <w:left w:val="nil"/>
              <w:bottom w:val="single" w:color="auto" w:sz="4" w:space="0"/>
              <w:right w:val="single" w:color="auto" w:sz="4" w:space="0"/>
            </w:tcBorders>
            <w:noWrap w:val="0"/>
            <w:vAlign w:val="center"/>
          </w:tcPr>
          <w:p w14:paraId="315FDB8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61" w:type="dxa"/>
            <w:tcBorders>
              <w:top w:val="nil"/>
              <w:left w:val="nil"/>
              <w:bottom w:val="single" w:color="auto" w:sz="4" w:space="0"/>
              <w:right w:val="single" w:color="auto" w:sz="4" w:space="0"/>
            </w:tcBorders>
            <w:noWrap w:val="0"/>
            <w:vAlign w:val="center"/>
          </w:tcPr>
          <w:p w14:paraId="6525F52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372" w:type="dxa"/>
            <w:tcBorders>
              <w:top w:val="nil"/>
              <w:left w:val="nil"/>
              <w:bottom w:val="single" w:color="auto" w:sz="4" w:space="0"/>
              <w:right w:val="single" w:color="auto" w:sz="4" w:space="0"/>
            </w:tcBorders>
            <w:noWrap w:val="0"/>
            <w:vAlign w:val="center"/>
          </w:tcPr>
          <w:p w14:paraId="51E0C2E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536F49E">
        <w:tblPrEx>
          <w:tblCellMar>
            <w:top w:w="0" w:type="dxa"/>
            <w:left w:w="108" w:type="dxa"/>
            <w:bottom w:w="0" w:type="dxa"/>
            <w:right w:w="108" w:type="dxa"/>
          </w:tblCellMar>
        </w:tblPrEx>
        <w:trPr>
          <w:jc w:val="center"/>
        </w:trPr>
        <w:tc>
          <w:tcPr>
            <w:tcW w:w="1058" w:type="dxa"/>
            <w:vMerge w:val="restart"/>
            <w:tcBorders>
              <w:top w:val="nil"/>
              <w:left w:val="single" w:color="auto" w:sz="4" w:space="0"/>
              <w:bottom w:val="single" w:color="000000" w:sz="4" w:space="0"/>
              <w:right w:val="single" w:color="auto" w:sz="4" w:space="0"/>
            </w:tcBorders>
            <w:noWrap w:val="0"/>
            <w:vAlign w:val="center"/>
          </w:tcPr>
          <w:p w14:paraId="1E3AE5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633" w:type="dxa"/>
            <w:gridSpan w:val="4"/>
            <w:tcBorders>
              <w:top w:val="single" w:color="auto" w:sz="4" w:space="0"/>
              <w:left w:val="nil"/>
              <w:bottom w:val="single" w:color="auto" w:sz="4" w:space="0"/>
              <w:right w:val="single" w:color="000000" w:sz="4" w:space="0"/>
            </w:tcBorders>
            <w:noWrap w:val="0"/>
            <w:vAlign w:val="center"/>
          </w:tcPr>
          <w:p w14:paraId="1C6513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160" w:type="dxa"/>
            <w:gridSpan w:val="4"/>
            <w:tcBorders>
              <w:top w:val="single" w:color="auto" w:sz="4" w:space="0"/>
              <w:left w:val="nil"/>
              <w:bottom w:val="single" w:color="auto" w:sz="4" w:space="0"/>
              <w:right w:val="single" w:color="auto" w:sz="4" w:space="0"/>
            </w:tcBorders>
            <w:noWrap w:val="0"/>
            <w:vAlign w:val="center"/>
          </w:tcPr>
          <w:p w14:paraId="292400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27FC0245">
        <w:tblPrEx>
          <w:tblCellMar>
            <w:top w:w="0" w:type="dxa"/>
            <w:left w:w="108" w:type="dxa"/>
            <w:bottom w:w="0" w:type="dxa"/>
            <w:right w:w="108" w:type="dxa"/>
          </w:tblCellMar>
        </w:tblPrEx>
        <w:trPr>
          <w:trHeight w:val="528" w:hRule="atLeast"/>
          <w:jc w:val="center"/>
        </w:trPr>
        <w:tc>
          <w:tcPr>
            <w:tcW w:w="1058" w:type="dxa"/>
            <w:vMerge w:val="continue"/>
            <w:tcBorders>
              <w:top w:val="nil"/>
              <w:left w:val="single" w:color="auto" w:sz="4" w:space="0"/>
              <w:bottom w:val="single" w:color="000000" w:sz="4" w:space="0"/>
              <w:right w:val="single" w:color="auto" w:sz="4" w:space="0"/>
            </w:tcBorders>
            <w:noWrap w:val="0"/>
            <w:vAlign w:val="center"/>
          </w:tcPr>
          <w:p w14:paraId="2511048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633" w:type="dxa"/>
            <w:gridSpan w:val="4"/>
            <w:tcBorders>
              <w:top w:val="single" w:color="auto" w:sz="4" w:space="0"/>
              <w:left w:val="nil"/>
              <w:bottom w:val="single" w:color="auto" w:sz="4" w:space="0"/>
              <w:right w:val="single" w:color="000000" w:sz="4" w:space="0"/>
            </w:tcBorders>
            <w:noWrap w:val="0"/>
            <w:vAlign w:val="center"/>
          </w:tcPr>
          <w:p w14:paraId="4BC22F5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完成执收目标</w:t>
            </w:r>
            <w:r>
              <w:rPr>
                <w:rFonts w:hint="eastAsia" w:ascii="仿宋_GB2312" w:hAnsi="仿宋_GB2312" w:eastAsia="仿宋_GB2312" w:cs="仿宋_GB2312"/>
                <w:color w:val="000000"/>
                <w:sz w:val="20"/>
                <w:szCs w:val="20"/>
                <w:highlight w:val="none"/>
                <w:lang w:val="en-US" w:eastAsia="zh-CN"/>
              </w:rPr>
              <w:t>12</w:t>
            </w:r>
            <w:r>
              <w:rPr>
                <w:rFonts w:hint="eastAsia" w:ascii="仿宋_GB2312" w:hAnsi="仿宋_GB2312" w:eastAsia="仿宋_GB2312" w:cs="仿宋_GB2312"/>
                <w:color w:val="000000"/>
                <w:sz w:val="20"/>
                <w:szCs w:val="20"/>
                <w:highlight w:val="none"/>
                <w:lang w:eastAsia="zh-CN"/>
              </w:rPr>
              <w:t>万元</w:t>
            </w:r>
          </w:p>
        </w:tc>
        <w:tc>
          <w:tcPr>
            <w:tcW w:w="4160" w:type="dxa"/>
            <w:gridSpan w:val="4"/>
            <w:tcBorders>
              <w:top w:val="single" w:color="auto" w:sz="4" w:space="0"/>
              <w:left w:val="nil"/>
              <w:bottom w:val="single" w:color="auto" w:sz="4" w:space="0"/>
              <w:right w:val="single" w:color="auto" w:sz="4" w:space="0"/>
            </w:tcBorders>
            <w:noWrap w:val="0"/>
            <w:vAlign w:val="center"/>
          </w:tcPr>
          <w:p w14:paraId="7532CB2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已完成预期目标。</w:t>
            </w:r>
          </w:p>
        </w:tc>
      </w:tr>
      <w:tr w14:paraId="5734890D">
        <w:tblPrEx>
          <w:tblCellMar>
            <w:top w:w="0" w:type="dxa"/>
            <w:left w:w="108" w:type="dxa"/>
            <w:bottom w:w="0" w:type="dxa"/>
            <w:right w:w="108" w:type="dxa"/>
          </w:tblCellMar>
        </w:tblPrEx>
        <w:trPr>
          <w:jc w:val="center"/>
        </w:trPr>
        <w:tc>
          <w:tcPr>
            <w:tcW w:w="1058" w:type="dxa"/>
            <w:vMerge w:val="restart"/>
            <w:tcBorders>
              <w:top w:val="nil"/>
              <w:left w:val="single" w:color="auto" w:sz="4" w:space="0"/>
              <w:right w:val="single" w:color="auto" w:sz="4" w:space="0"/>
            </w:tcBorders>
            <w:noWrap w:val="0"/>
            <w:vAlign w:val="center"/>
          </w:tcPr>
          <w:p w14:paraId="15E2FE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1C5E6AD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4AF5AD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1E2DEC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65" w:type="dxa"/>
            <w:tcBorders>
              <w:top w:val="nil"/>
              <w:left w:val="nil"/>
              <w:bottom w:val="single" w:color="auto" w:sz="4" w:space="0"/>
              <w:right w:val="single" w:color="auto" w:sz="4" w:space="0"/>
            </w:tcBorders>
            <w:noWrap w:val="0"/>
            <w:vAlign w:val="center"/>
          </w:tcPr>
          <w:p w14:paraId="64C99D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53" w:type="dxa"/>
            <w:tcBorders>
              <w:top w:val="nil"/>
              <w:left w:val="nil"/>
              <w:bottom w:val="single" w:color="auto" w:sz="4" w:space="0"/>
              <w:right w:val="single" w:color="auto" w:sz="4" w:space="0"/>
            </w:tcBorders>
            <w:noWrap w:val="0"/>
            <w:vAlign w:val="center"/>
          </w:tcPr>
          <w:p w14:paraId="71D696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40" w:type="dxa"/>
            <w:tcBorders>
              <w:top w:val="nil"/>
              <w:left w:val="nil"/>
              <w:bottom w:val="single" w:color="auto" w:sz="4" w:space="0"/>
              <w:right w:val="single" w:color="auto" w:sz="4" w:space="0"/>
            </w:tcBorders>
            <w:noWrap w:val="0"/>
            <w:vAlign w:val="center"/>
          </w:tcPr>
          <w:p w14:paraId="4FC72F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275" w:type="dxa"/>
            <w:tcBorders>
              <w:top w:val="nil"/>
              <w:left w:val="nil"/>
              <w:bottom w:val="single" w:color="auto" w:sz="4" w:space="0"/>
              <w:right w:val="single" w:color="auto" w:sz="4" w:space="0"/>
            </w:tcBorders>
            <w:noWrap w:val="0"/>
            <w:vAlign w:val="center"/>
          </w:tcPr>
          <w:p w14:paraId="40F910B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3DF954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94" w:type="dxa"/>
            <w:tcBorders>
              <w:top w:val="nil"/>
              <w:left w:val="nil"/>
              <w:bottom w:val="single" w:color="auto" w:sz="4" w:space="0"/>
              <w:right w:val="single" w:color="auto" w:sz="4" w:space="0"/>
            </w:tcBorders>
            <w:noWrap w:val="0"/>
            <w:vAlign w:val="center"/>
          </w:tcPr>
          <w:p w14:paraId="38AE0B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37BE48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733" w:type="dxa"/>
            <w:tcBorders>
              <w:top w:val="nil"/>
              <w:left w:val="nil"/>
              <w:bottom w:val="single" w:color="auto" w:sz="4" w:space="0"/>
              <w:right w:val="single" w:color="auto" w:sz="4" w:space="0"/>
            </w:tcBorders>
            <w:noWrap w:val="0"/>
            <w:vAlign w:val="center"/>
          </w:tcPr>
          <w:p w14:paraId="714AB6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61" w:type="dxa"/>
            <w:tcBorders>
              <w:top w:val="nil"/>
              <w:left w:val="nil"/>
              <w:bottom w:val="single" w:color="auto" w:sz="4" w:space="0"/>
              <w:right w:val="single" w:color="auto" w:sz="4" w:space="0"/>
            </w:tcBorders>
            <w:noWrap w:val="0"/>
            <w:vAlign w:val="center"/>
          </w:tcPr>
          <w:p w14:paraId="370AFA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372" w:type="dxa"/>
            <w:tcBorders>
              <w:top w:val="nil"/>
              <w:left w:val="nil"/>
              <w:bottom w:val="single" w:color="auto" w:sz="4" w:space="0"/>
              <w:right w:val="single" w:color="auto" w:sz="4" w:space="0"/>
            </w:tcBorders>
            <w:noWrap w:val="0"/>
            <w:vAlign w:val="center"/>
          </w:tcPr>
          <w:p w14:paraId="6B93DC89">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1B705CA0">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22080A8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restart"/>
            <w:tcBorders>
              <w:top w:val="single" w:color="auto" w:sz="4" w:space="0"/>
              <w:left w:val="single" w:color="auto" w:sz="4" w:space="0"/>
              <w:right w:val="single" w:color="auto" w:sz="4" w:space="0"/>
            </w:tcBorders>
            <w:noWrap w:val="0"/>
            <w:vAlign w:val="center"/>
          </w:tcPr>
          <w:p w14:paraId="141DE8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57BAB7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760615D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53" w:type="dxa"/>
            <w:tcBorders>
              <w:top w:val="single" w:color="auto" w:sz="4" w:space="0"/>
              <w:left w:val="single" w:color="auto" w:sz="4" w:space="0"/>
              <w:bottom w:val="single" w:color="auto" w:sz="4" w:space="0"/>
              <w:right w:val="single" w:color="auto" w:sz="4" w:space="0"/>
            </w:tcBorders>
            <w:noWrap w:val="0"/>
            <w:vAlign w:val="center"/>
          </w:tcPr>
          <w:p w14:paraId="441C37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6BAB12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18"/>
                <w:szCs w:val="18"/>
                <w:highlight w:val="none"/>
                <w:lang w:eastAsia="zh-CN"/>
              </w:rPr>
            </w:pPr>
            <w:r>
              <w:rPr>
                <w:rFonts w:hint="eastAsia" w:ascii="仿宋_GB2312" w:hAnsi="仿宋_GB2312" w:eastAsia="仿宋_GB2312" w:cs="仿宋_GB2312"/>
                <w:color w:val="000000"/>
                <w:sz w:val="20"/>
                <w:szCs w:val="20"/>
                <w:highlight w:val="none"/>
                <w:lang w:eastAsia="zh-CN"/>
              </w:rPr>
              <w:t>202</w:t>
            </w:r>
            <w:r>
              <w:rPr>
                <w:rFonts w:hint="eastAsia" w:ascii="仿宋_GB2312" w:hAnsi="仿宋_GB2312" w:eastAsia="仿宋_GB2312" w:cs="仿宋_GB2312"/>
                <w:color w:val="000000"/>
                <w:sz w:val="20"/>
                <w:szCs w:val="20"/>
                <w:highlight w:val="none"/>
                <w:lang w:val="en-US" w:eastAsia="zh-CN"/>
              </w:rPr>
              <w:t>5</w:t>
            </w:r>
            <w:r>
              <w:rPr>
                <w:rFonts w:hint="eastAsia" w:ascii="仿宋_GB2312" w:hAnsi="仿宋_GB2312" w:eastAsia="仿宋_GB2312" w:cs="仿宋_GB2312"/>
                <w:color w:val="000000"/>
                <w:sz w:val="20"/>
                <w:szCs w:val="20"/>
                <w:highlight w:val="none"/>
                <w:lang w:eastAsia="zh-CN"/>
              </w:rPr>
              <w:t>年罚没征收任务</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17450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12万元</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6130AA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0E964D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28B5AF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1FB9572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CA503C0">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14F780D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left w:val="single" w:color="auto" w:sz="4" w:space="0"/>
              <w:right w:val="single" w:color="auto" w:sz="4" w:space="0"/>
            </w:tcBorders>
            <w:noWrap w:val="0"/>
            <w:vAlign w:val="center"/>
          </w:tcPr>
          <w:p w14:paraId="23D13FE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14:paraId="3DAE4E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2139FA3D">
            <w:pPr>
              <w:widowControl/>
              <w:spacing w:line="240" w:lineRule="exact"/>
              <w:jc w:val="center"/>
              <w:rPr>
                <w:rFonts w:hint="eastAsia" w:ascii="仿宋_GB2312" w:hAnsi="仿宋_GB2312" w:eastAsia="仿宋_GB2312" w:cs="仿宋_GB2312"/>
                <w:color w:val="000000"/>
                <w:kern w:val="0"/>
                <w:sz w:val="18"/>
                <w:szCs w:val="18"/>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确实罚没收入完成任务</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9BA143C">
            <w:pPr>
              <w:widowControl/>
              <w:spacing w:line="240" w:lineRule="exact"/>
              <w:jc w:val="center"/>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罚没任务100%完成</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2EEF96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100%完成</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063F8D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1AA214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6FDC9C4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F246EB8">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151B3AD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left w:val="single" w:color="auto" w:sz="4" w:space="0"/>
              <w:right w:val="single" w:color="auto" w:sz="4" w:space="0"/>
            </w:tcBorders>
            <w:noWrap w:val="0"/>
            <w:vAlign w:val="center"/>
          </w:tcPr>
          <w:p w14:paraId="78046A0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14:paraId="798DE6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680A0405">
            <w:pPr>
              <w:widowControl/>
              <w:spacing w:line="240" w:lineRule="exact"/>
              <w:jc w:val="center"/>
              <w:rPr>
                <w:rFonts w:hint="eastAsia" w:ascii="仿宋_GB2312" w:hAnsi="仿宋_GB2312" w:eastAsia="仿宋_GB2312" w:cs="仿宋_GB2312"/>
                <w:color w:val="000000"/>
                <w:kern w:val="0"/>
                <w:sz w:val="18"/>
                <w:szCs w:val="18"/>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按时完成各项指标任务</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B19E345">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2025年12月31日</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0B1F2B28">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lang w:val="en-US" w:eastAsia="zh-CN"/>
              </w:rPr>
              <w:t>2025年12月31日</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09CA4B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0C51E0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0E4A500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D1E7821">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65B738A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left w:val="single" w:color="auto" w:sz="4" w:space="0"/>
              <w:right w:val="single" w:color="auto" w:sz="4" w:space="0"/>
            </w:tcBorders>
            <w:noWrap w:val="0"/>
            <w:vAlign w:val="center"/>
          </w:tcPr>
          <w:p w14:paraId="5ACA1B0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vMerge w:val="restart"/>
            <w:tcBorders>
              <w:top w:val="single" w:color="auto" w:sz="4" w:space="0"/>
              <w:left w:val="single" w:color="auto" w:sz="4" w:space="0"/>
              <w:right w:val="single" w:color="auto" w:sz="4" w:space="0"/>
            </w:tcBorders>
            <w:noWrap w:val="0"/>
            <w:vAlign w:val="center"/>
          </w:tcPr>
          <w:p w14:paraId="700532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158AED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18"/>
                <w:szCs w:val="18"/>
                <w:highlight w:val="none"/>
              </w:rPr>
            </w:pPr>
            <w:r>
              <w:rPr>
                <w:rFonts w:hint="eastAsia" w:ascii="仿宋_GB2312" w:hAnsi="宋体" w:eastAsia="仿宋_GB2312" w:cs="仿宋_GB2312"/>
                <w:i w:val="0"/>
                <w:iCs w:val="0"/>
                <w:color w:val="000000"/>
                <w:kern w:val="0"/>
                <w:sz w:val="18"/>
                <w:szCs w:val="18"/>
                <w:u w:val="none"/>
                <w:lang w:val="en-US" w:eastAsia="zh-CN" w:bidi="ar"/>
              </w:rPr>
              <w:t>所有支出控制在预算内</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87E47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w:t>
            </w:r>
            <w:r>
              <w:rPr>
                <w:rFonts w:hint="default" w:ascii="仿宋_GB2312" w:hAnsi="仿宋_GB2312" w:eastAsia="仿宋_GB2312" w:cs="仿宋_GB2312"/>
                <w:sz w:val="20"/>
                <w:szCs w:val="20"/>
                <w:highlight w:val="none"/>
                <w:lang w:val="en-US" w:eastAsia="zh-CN"/>
              </w:rPr>
              <w:t>21.31</w:t>
            </w:r>
            <w:r>
              <w:rPr>
                <w:rFonts w:hint="eastAsia" w:ascii="仿宋_GB2312" w:hAnsi="仿宋_GB2312" w:eastAsia="仿宋_GB2312" w:cs="仿宋_GB2312"/>
                <w:color w:val="000000"/>
                <w:sz w:val="20"/>
                <w:szCs w:val="20"/>
                <w:highlight w:val="none"/>
                <w:lang w:val="en-US" w:eastAsia="zh-CN"/>
              </w:rPr>
              <w:t>万元</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7E8CD5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sz w:val="20"/>
                <w:szCs w:val="20"/>
                <w:highlight w:val="none"/>
                <w:lang w:val="en-US" w:eastAsia="zh-CN"/>
              </w:rPr>
              <w:t>21.31</w:t>
            </w:r>
            <w:r>
              <w:rPr>
                <w:rFonts w:hint="eastAsia" w:ascii="仿宋_GB2312" w:hAnsi="仿宋_GB2312" w:eastAsia="仿宋_GB2312" w:cs="仿宋_GB2312"/>
                <w:color w:val="000000"/>
                <w:sz w:val="20"/>
                <w:szCs w:val="20"/>
                <w:highlight w:val="none"/>
                <w:lang w:val="en-US" w:eastAsia="zh-CN"/>
              </w:rPr>
              <w:t>万元</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66BE9C6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4FE37E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1967751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DF9CB1F">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3F60EF9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left w:val="single" w:color="auto" w:sz="4" w:space="0"/>
              <w:bottom w:val="single" w:color="auto" w:sz="4" w:space="0"/>
              <w:right w:val="single" w:color="auto" w:sz="4" w:space="0"/>
            </w:tcBorders>
            <w:noWrap w:val="0"/>
            <w:vAlign w:val="center"/>
          </w:tcPr>
          <w:p w14:paraId="36FBE82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vMerge w:val="continue"/>
            <w:tcBorders>
              <w:left w:val="single" w:color="auto" w:sz="4" w:space="0"/>
              <w:bottom w:val="single" w:color="auto" w:sz="4" w:space="0"/>
              <w:right w:val="single" w:color="auto" w:sz="4" w:space="0"/>
            </w:tcBorders>
            <w:noWrap w:val="0"/>
            <w:vAlign w:val="center"/>
          </w:tcPr>
          <w:p w14:paraId="76942F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40" w:type="dxa"/>
            <w:tcBorders>
              <w:top w:val="single" w:color="auto" w:sz="4" w:space="0"/>
              <w:left w:val="single" w:color="auto" w:sz="4" w:space="0"/>
              <w:bottom w:val="single" w:color="auto" w:sz="4" w:space="0"/>
              <w:right w:val="single" w:color="auto" w:sz="4" w:space="0"/>
            </w:tcBorders>
            <w:noWrap w:val="0"/>
            <w:vAlign w:val="center"/>
          </w:tcPr>
          <w:p w14:paraId="627BF6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社会成本指标</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2601B6">
            <w:pPr>
              <w:widowControl/>
              <w:spacing w:line="240" w:lineRule="exact"/>
              <w:jc w:val="center"/>
              <w:rPr>
                <w:rFonts w:hint="eastAsia" w:ascii="仿宋" w:hAnsi="仿宋" w:eastAsia="仿宋_GB2312" w:cs="Times New Roman"/>
                <w:kern w:val="0"/>
                <w:sz w:val="20"/>
                <w:szCs w:val="20"/>
                <w:lang w:val="en-US" w:eastAsia="zh-CN" w:bidi="ar-SA"/>
              </w:rPr>
            </w:pPr>
            <w:r>
              <w:rPr>
                <w:rFonts w:hint="eastAsia" w:eastAsia="仿宋_GB2312"/>
                <w:kern w:val="0"/>
                <w:sz w:val="20"/>
                <w:szCs w:val="20"/>
                <w:lang w:val="en-US" w:eastAsia="zh-CN"/>
              </w:rPr>
              <w:t>对社会发展问题可造成的负面影响</w:t>
            </w:r>
          </w:p>
        </w:tc>
        <w:tc>
          <w:tcPr>
            <w:tcW w:w="11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9A3976">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无负面影响</w:t>
            </w:r>
          </w:p>
        </w:tc>
        <w:tc>
          <w:tcPr>
            <w:tcW w:w="7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B6F9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7733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74E35A4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2562BC78">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428529F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restart"/>
            <w:tcBorders>
              <w:top w:val="single" w:color="auto" w:sz="4" w:space="0"/>
              <w:left w:val="single" w:color="auto" w:sz="4" w:space="0"/>
              <w:bottom w:val="single" w:color="auto" w:sz="4" w:space="0"/>
              <w:right w:val="single" w:color="auto" w:sz="4" w:space="0"/>
            </w:tcBorders>
            <w:noWrap w:val="0"/>
            <w:vAlign w:val="center"/>
          </w:tcPr>
          <w:p w14:paraId="2C32597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6D224BB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707CD20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4A2EFC8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53" w:type="dxa"/>
            <w:tcBorders>
              <w:top w:val="single" w:color="auto" w:sz="4" w:space="0"/>
              <w:left w:val="single" w:color="auto" w:sz="4" w:space="0"/>
              <w:bottom w:val="single" w:color="auto" w:sz="4" w:space="0"/>
              <w:right w:val="single" w:color="auto" w:sz="4" w:space="0"/>
            </w:tcBorders>
            <w:noWrap w:val="0"/>
            <w:vAlign w:val="center"/>
          </w:tcPr>
          <w:p w14:paraId="1CA7A0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39A8E7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4BC2546C">
            <w:pPr>
              <w:widowControl/>
              <w:spacing w:line="240" w:lineRule="exact"/>
              <w:jc w:val="center"/>
              <w:rPr>
                <w:rFonts w:hint="eastAsia" w:ascii="仿宋_GB2312" w:hAnsi="仿宋_GB2312" w:eastAsia="仿宋_GB2312" w:cs="仿宋_GB2312"/>
                <w:color w:val="000000"/>
                <w:kern w:val="0"/>
                <w:sz w:val="18"/>
                <w:szCs w:val="18"/>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促进经济发展</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EA79D70">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经济平稳发展</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0C46C236">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经济得以保持稳定并有所提高</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5542081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629949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4501F9C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8A8760F">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3C0FB96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29014CA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14:paraId="67449F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15E9DA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09621EE1">
            <w:pPr>
              <w:widowControl/>
              <w:spacing w:line="240" w:lineRule="exact"/>
              <w:jc w:val="center"/>
              <w:rPr>
                <w:rFonts w:hint="eastAsia" w:ascii="仿宋_GB2312" w:hAnsi="仿宋_GB2312" w:eastAsia="仿宋_GB2312" w:cs="仿宋_GB2312"/>
                <w:color w:val="000000"/>
                <w:kern w:val="0"/>
                <w:sz w:val="18"/>
                <w:szCs w:val="18"/>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改善居民生产、生活环境</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4AACC4C">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有所改善</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36967E1E">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有所改善</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21A081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5FC359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199482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EA72F56">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5452603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4BDEC8E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tcBorders>
              <w:top w:val="single" w:color="auto" w:sz="4" w:space="0"/>
              <w:left w:val="single" w:color="auto" w:sz="4" w:space="0"/>
              <w:right w:val="single" w:color="auto" w:sz="4" w:space="0"/>
            </w:tcBorders>
            <w:noWrap w:val="0"/>
            <w:vAlign w:val="center"/>
          </w:tcPr>
          <w:p w14:paraId="652F8E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27AA79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05CFF8E4">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eastAsia="仿宋_GB2312"/>
                <w:kern w:val="0"/>
                <w:sz w:val="20"/>
                <w:szCs w:val="20"/>
                <w:lang w:eastAsia="zh-CN"/>
              </w:rPr>
              <w:t>城区空气质量优良率</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401CF18">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highlight w:val="none"/>
                <w:lang w:val="en-US" w:eastAsia="zh-CN"/>
              </w:rPr>
              <w:t>≥90%</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41833D07">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eastAsia="仿宋_GB2312"/>
                <w:kern w:val="0"/>
                <w:sz w:val="20"/>
                <w:szCs w:val="20"/>
                <w:lang w:val="en-US" w:eastAsia="zh-CN"/>
              </w:rPr>
              <w:t>89.9%</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097F17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5281AC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2EEF28F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11CF1F2">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3BEA49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65" w:type="dxa"/>
            <w:vMerge w:val="continue"/>
            <w:tcBorders>
              <w:top w:val="single" w:color="auto" w:sz="4" w:space="0"/>
              <w:left w:val="single" w:color="auto" w:sz="4" w:space="0"/>
              <w:bottom w:val="single" w:color="auto" w:sz="4" w:space="0"/>
              <w:right w:val="single" w:color="auto" w:sz="4" w:space="0"/>
            </w:tcBorders>
            <w:noWrap w:val="0"/>
            <w:vAlign w:val="center"/>
          </w:tcPr>
          <w:p w14:paraId="596D377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53" w:type="dxa"/>
            <w:tcBorders>
              <w:top w:val="single" w:color="auto" w:sz="4" w:space="0"/>
              <w:left w:val="single" w:color="auto" w:sz="4" w:space="0"/>
              <w:bottom w:val="single" w:color="auto" w:sz="4" w:space="0"/>
              <w:right w:val="single" w:color="auto" w:sz="4" w:space="0"/>
            </w:tcBorders>
            <w:noWrap w:val="0"/>
            <w:vAlign w:val="center"/>
          </w:tcPr>
          <w:p w14:paraId="0F3490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40439E00">
            <w:pPr>
              <w:widowControl/>
              <w:spacing w:line="240" w:lineRule="exact"/>
              <w:jc w:val="center"/>
              <w:rPr>
                <w:rFonts w:hint="eastAsia" w:ascii="仿宋_GB2312" w:hAnsi="仿宋_GB2312" w:eastAsia="仿宋_GB2312" w:cs="仿宋_GB2312"/>
                <w:color w:val="000000"/>
                <w:kern w:val="0"/>
                <w:sz w:val="18"/>
                <w:szCs w:val="18"/>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本区的环境质量得到持续改善</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D21AC64">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有可持续影响</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0355A7BC">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本区的环境质量得到持续改善</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0962A9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7E618F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3FD567C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0538D73">
        <w:tblPrEx>
          <w:tblCellMar>
            <w:top w:w="0" w:type="dxa"/>
            <w:left w:w="108" w:type="dxa"/>
            <w:bottom w:w="0" w:type="dxa"/>
            <w:right w:w="108" w:type="dxa"/>
          </w:tblCellMar>
        </w:tblPrEx>
        <w:trPr>
          <w:jc w:val="center"/>
        </w:trPr>
        <w:tc>
          <w:tcPr>
            <w:tcW w:w="1058" w:type="dxa"/>
            <w:vMerge w:val="continue"/>
            <w:tcBorders>
              <w:left w:val="single" w:color="auto" w:sz="4" w:space="0"/>
              <w:right w:val="single" w:color="auto" w:sz="4" w:space="0"/>
            </w:tcBorders>
            <w:noWrap w:val="0"/>
            <w:vAlign w:val="center"/>
          </w:tcPr>
          <w:p w14:paraId="18BE1A1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B3388B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0CC0B9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15F6D6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53" w:type="dxa"/>
            <w:tcBorders>
              <w:top w:val="single" w:color="auto" w:sz="4" w:space="0"/>
              <w:left w:val="single" w:color="auto" w:sz="4" w:space="0"/>
              <w:bottom w:val="single" w:color="auto" w:sz="4" w:space="0"/>
              <w:right w:val="single" w:color="auto" w:sz="4" w:space="0"/>
            </w:tcBorders>
            <w:noWrap w:val="0"/>
            <w:vAlign w:val="center"/>
          </w:tcPr>
          <w:p w14:paraId="182968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2D0EC5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highlight w:val="none"/>
                <w:lang w:val="en-US" w:eastAsia="zh-CN" w:bidi="ar-SA"/>
              </w:rPr>
            </w:pPr>
            <w:r>
              <w:rPr>
                <w:rFonts w:hint="eastAsia" w:ascii="仿宋_GB2312" w:hAnsi="宋体" w:eastAsia="仿宋_GB2312" w:cs="仿宋_GB2312"/>
                <w:i w:val="0"/>
                <w:iCs w:val="0"/>
                <w:color w:val="000000"/>
                <w:kern w:val="0"/>
                <w:sz w:val="18"/>
                <w:szCs w:val="18"/>
                <w:u w:val="none"/>
                <w:lang w:val="en-US" w:eastAsia="zh-CN" w:bidi="ar"/>
              </w:rPr>
              <w:t>群众满意率</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44C9F78">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≥95%</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051BEC65">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w:t>
            </w:r>
            <w:r>
              <w:rPr>
                <w:rFonts w:hint="eastAsia" w:ascii="仿宋_GB2312" w:hAnsi="仿宋_GB2312" w:eastAsia="仿宋_GB2312" w:cs="仿宋_GB2312"/>
                <w:color w:val="000000"/>
                <w:sz w:val="20"/>
                <w:szCs w:val="20"/>
                <w:lang w:val="en-US" w:eastAsia="zh-CN"/>
              </w:rPr>
              <w:t>9</w:t>
            </w:r>
            <w:r>
              <w:rPr>
                <w:rFonts w:hint="eastAsia" w:ascii="仿宋_GB2312" w:hAnsi="宋体" w:eastAsia="仿宋_GB2312" w:cs="仿宋_GB2312"/>
                <w:i w:val="0"/>
                <w:iCs w:val="0"/>
                <w:color w:val="000000"/>
                <w:kern w:val="0"/>
                <w:sz w:val="20"/>
                <w:szCs w:val="20"/>
                <w:u w:val="none"/>
                <w:lang w:val="en-US" w:eastAsia="zh-CN" w:bidi="ar"/>
              </w:rPr>
              <w:t>5%</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7B716F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7D6C89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1119D92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0BDE6F9">
        <w:tblPrEx>
          <w:tblCellMar>
            <w:top w:w="0" w:type="dxa"/>
            <w:left w:w="108" w:type="dxa"/>
            <w:bottom w:w="0" w:type="dxa"/>
            <w:right w:w="108" w:type="dxa"/>
          </w:tblCellMar>
        </w:tblPrEx>
        <w:trPr>
          <w:trHeight w:val="486" w:hRule="atLeast"/>
          <w:jc w:val="center"/>
        </w:trPr>
        <w:tc>
          <w:tcPr>
            <w:tcW w:w="6885" w:type="dxa"/>
            <w:gridSpan w:val="6"/>
            <w:tcBorders>
              <w:top w:val="single" w:color="auto" w:sz="4" w:space="0"/>
              <w:left w:val="single" w:color="auto" w:sz="4" w:space="0"/>
              <w:bottom w:val="single" w:color="auto" w:sz="4" w:space="0"/>
              <w:right w:val="single" w:color="auto" w:sz="4" w:space="0"/>
            </w:tcBorders>
            <w:noWrap w:val="0"/>
            <w:vAlign w:val="center"/>
          </w:tcPr>
          <w:p w14:paraId="276A7C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33" w:type="dxa"/>
            <w:tcBorders>
              <w:top w:val="single" w:color="auto" w:sz="4" w:space="0"/>
              <w:left w:val="single" w:color="auto" w:sz="4" w:space="0"/>
              <w:bottom w:val="single" w:color="auto" w:sz="4" w:space="0"/>
              <w:right w:val="single" w:color="auto" w:sz="4" w:space="0"/>
            </w:tcBorders>
            <w:noWrap w:val="0"/>
            <w:vAlign w:val="center"/>
          </w:tcPr>
          <w:p w14:paraId="403C71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3465F1A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99</w:t>
            </w:r>
          </w:p>
        </w:tc>
        <w:tc>
          <w:tcPr>
            <w:tcW w:w="1372" w:type="dxa"/>
            <w:tcBorders>
              <w:top w:val="single" w:color="auto" w:sz="4" w:space="0"/>
              <w:left w:val="single" w:color="auto" w:sz="4" w:space="0"/>
              <w:bottom w:val="single" w:color="auto" w:sz="4" w:space="0"/>
              <w:right w:val="single" w:color="auto" w:sz="4" w:space="0"/>
            </w:tcBorders>
            <w:noWrap w:val="0"/>
            <w:vAlign w:val="center"/>
          </w:tcPr>
          <w:p w14:paraId="42CBBD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2D1E7A19">
      <w:pPr>
        <w:rPr>
          <w:rFonts w:hint="default" w:ascii="Times New Roman" w:hAnsi="Times New Roman" w:eastAsia="仿宋_GB2312" w:cs="Times New Roman"/>
          <w:szCs w:val="21"/>
          <w:highlight w:val="none"/>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p>
    <w:p w14:paraId="4C406E4E">
      <w:pPr>
        <w:rPr>
          <w:rFonts w:hint="default" w:ascii="Times New Roman" w:hAnsi="Times New Roman" w:eastAsia="仿宋_GB2312" w:cs="Times New Roman"/>
          <w:sz w:val="22"/>
          <w:szCs w:val="22"/>
          <w:highlight w:val="none"/>
          <w:lang w:val="en-US" w:eastAsia="zh-CN"/>
        </w:rPr>
      </w:pPr>
      <w:r>
        <w:rPr>
          <w:rFonts w:hint="default" w:ascii="Times New Roman" w:hAnsi="Times New Roman" w:eastAsia="仿宋_GB2312" w:cs="Times New Roman"/>
          <w:sz w:val="22"/>
          <w:szCs w:val="22"/>
          <w:highlight w:val="none"/>
        </w:rPr>
        <w:t>填表人</w:t>
      </w:r>
      <w:r>
        <w:rPr>
          <w:rFonts w:hint="eastAsia" w:ascii="Times New Roman" w:hAnsi="Times New Roman" w:eastAsia="仿宋_GB2312" w:cs="Times New Roman"/>
          <w:sz w:val="22"/>
          <w:szCs w:val="22"/>
          <w:highlight w:val="none"/>
          <w:lang w:val="en-US" w:eastAsia="zh-CN"/>
        </w:rPr>
        <w:t>黄娟</w:t>
      </w:r>
      <w:r>
        <w:rPr>
          <w:rFonts w:hint="default" w:ascii="Times New Roman" w:hAnsi="Times New Roman" w:eastAsia="仿宋_GB2312" w:cs="Times New Roman"/>
          <w:sz w:val="22"/>
          <w:szCs w:val="22"/>
          <w:highlight w:val="none"/>
        </w:rPr>
        <w:t xml:space="preserve"> 填报日期：</w:t>
      </w:r>
      <w:r>
        <w:rPr>
          <w:rFonts w:hint="eastAsia" w:ascii="Times New Roman" w:hAnsi="Times New Roman" w:eastAsia="仿宋_GB2312" w:cs="Times New Roman"/>
          <w:sz w:val="22"/>
          <w:szCs w:val="22"/>
          <w:highlight w:val="none"/>
          <w:lang w:val="en-US" w:eastAsia="zh-CN"/>
        </w:rPr>
        <w:t>2026年6月1日</w:t>
      </w:r>
      <w:r>
        <w:rPr>
          <w:rFonts w:hint="default" w:ascii="Times New Roman" w:hAnsi="Times New Roman" w:eastAsia="仿宋_GB2312" w:cs="Times New Roman"/>
          <w:sz w:val="22"/>
          <w:szCs w:val="22"/>
          <w:highlight w:val="none"/>
        </w:rPr>
        <w:t>联系电话：</w:t>
      </w:r>
      <w:r>
        <w:rPr>
          <w:rFonts w:hint="eastAsia" w:ascii="Times New Roman" w:hAnsi="Times New Roman" w:eastAsia="仿宋_GB2312" w:cs="Times New Roman"/>
          <w:sz w:val="22"/>
          <w:szCs w:val="22"/>
          <w:highlight w:val="none"/>
          <w:lang w:val="en-US" w:eastAsia="zh-CN"/>
        </w:rPr>
        <w:t xml:space="preserve">15575068909  </w:t>
      </w:r>
      <w:r>
        <w:rPr>
          <w:rFonts w:hint="default" w:ascii="Times New Roman" w:hAnsi="Times New Roman" w:eastAsia="仿宋_GB2312" w:cs="Times New Roman"/>
          <w:sz w:val="22"/>
          <w:szCs w:val="22"/>
          <w:highlight w:val="none"/>
        </w:rPr>
        <w:t>单位负责人</w:t>
      </w:r>
      <w:r>
        <w:rPr>
          <w:rFonts w:hint="eastAsia" w:ascii="Times New Roman" w:hAnsi="Times New Roman" w:eastAsia="仿宋_GB2312" w:cs="Times New Roman"/>
          <w:sz w:val="22"/>
          <w:szCs w:val="22"/>
          <w:highlight w:val="none"/>
          <w:lang w:val="en-US" w:eastAsia="zh-CN"/>
        </w:rPr>
        <w:t>签字</w:t>
      </w:r>
      <w:r>
        <w:rPr>
          <w:rFonts w:hint="eastAsia" w:ascii="Times New Roman" w:hAnsi="Times New Roman" w:eastAsia="仿宋_GB2312" w:cs="Times New Roman"/>
          <w:sz w:val="22"/>
          <w:szCs w:val="22"/>
          <w:highlight w:val="none"/>
          <w:lang w:eastAsia="zh-CN"/>
        </w:rPr>
        <w:t>：</w:t>
      </w:r>
      <w:r>
        <w:rPr>
          <w:rFonts w:hint="eastAsia" w:ascii="Times New Roman" w:hAnsi="Times New Roman" w:eastAsia="仿宋_GB2312" w:cs="Times New Roman"/>
          <w:sz w:val="22"/>
          <w:szCs w:val="22"/>
          <w:highlight w:val="none"/>
          <w:lang w:val="en-US" w:eastAsia="zh-CN"/>
        </w:rPr>
        <w:t>李雄</w:t>
      </w:r>
    </w:p>
    <w:p w14:paraId="51A51470">
      <w:pPr>
        <w:rPr>
          <w:rFonts w:hint="default" w:ascii="Times New Roman" w:hAnsi="Times New Roman" w:eastAsia="仿宋_GB2312" w:cs="Times New Roman"/>
          <w:sz w:val="22"/>
          <w:szCs w:val="22"/>
          <w:highlight w:val="none"/>
        </w:rPr>
      </w:pPr>
    </w:p>
    <w:p w14:paraId="359319C9">
      <w:pPr>
        <w:rPr>
          <w:rFonts w:hint="eastAsia" w:ascii="黑体" w:hAnsi="黑体" w:eastAsia="黑体" w:cs="黑体"/>
          <w:sz w:val="32"/>
          <w:szCs w:val="32"/>
          <w:highlight w:val="none"/>
        </w:rPr>
      </w:pPr>
    </w:p>
    <w:p w14:paraId="103F5DD9">
      <w:pPr>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14:paraId="1CD19691">
      <w:pPr>
        <w:jc w:val="center"/>
        <w:rPr>
          <w:rFonts w:hint="default" w:ascii="Times New Roman" w:hAnsi="Times New Roman" w:eastAsia="方正小标宋_GBK" w:cs="Times New Roman"/>
          <w:sz w:val="52"/>
          <w:szCs w:val="52"/>
          <w:highlight w:val="none"/>
        </w:rPr>
      </w:pPr>
    </w:p>
    <w:p w14:paraId="7EB2B57C">
      <w:pPr>
        <w:jc w:val="center"/>
        <w:rPr>
          <w:rFonts w:hint="default"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w:t>
      </w:r>
      <w:r>
        <w:rPr>
          <w:rFonts w:hint="default" w:ascii="方正小标宋简体" w:hAnsi="方正小标宋简体" w:eastAsia="方正小标宋简体" w:cs="方正小标宋简体"/>
          <w:sz w:val="44"/>
          <w:szCs w:val="44"/>
          <w:highlight w:val="none"/>
          <w:lang w:eastAsia="zh-CN"/>
        </w:rPr>
        <w:t>岳阳市生态环境局屈原分局</w:t>
      </w:r>
    </w:p>
    <w:p w14:paraId="1ED78F88">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整体支出绩效自评报告</w:t>
      </w:r>
    </w:p>
    <w:p w14:paraId="05A14219">
      <w:pPr>
        <w:jc w:val="center"/>
        <w:rPr>
          <w:rFonts w:hint="default" w:ascii="Times New Roman" w:hAnsi="Times New Roman" w:eastAsia="方正小标宋_GBK" w:cs="Times New Roman"/>
          <w:b/>
          <w:sz w:val="52"/>
          <w:szCs w:val="52"/>
          <w:highlight w:val="none"/>
        </w:rPr>
      </w:pPr>
    </w:p>
    <w:p w14:paraId="2DA78480">
      <w:pPr>
        <w:jc w:val="center"/>
        <w:rPr>
          <w:rFonts w:hint="default" w:ascii="Times New Roman" w:hAnsi="Times New Roman" w:eastAsia="楷体_GB2312" w:cs="Times New Roman"/>
          <w:b/>
          <w:sz w:val="32"/>
          <w:szCs w:val="32"/>
          <w:highlight w:val="none"/>
        </w:rPr>
      </w:pPr>
    </w:p>
    <w:p w14:paraId="7A20CB64">
      <w:pPr>
        <w:jc w:val="center"/>
        <w:rPr>
          <w:rFonts w:hint="default" w:ascii="Times New Roman" w:hAnsi="Times New Roman" w:eastAsia="楷体_GB2312" w:cs="Times New Roman"/>
          <w:b/>
          <w:sz w:val="32"/>
          <w:szCs w:val="32"/>
          <w:highlight w:val="none"/>
        </w:rPr>
      </w:pPr>
    </w:p>
    <w:p w14:paraId="33C6E514">
      <w:pPr>
        <w:jc w:val="center"/>
        <w:rPr>
          <w:rFonts w:hint="default" w:ascii="Times New Roman" w:hAnsi="Times New Roman" w:eastAsia="楷体_GB2312" w:cs="Times New Roman"/>
          <w:b/>
          <w:sz w:val="32"/>
          <w:szCs w:val="32"/>
          <w:highlight w:val="none"/>
        </w:rPr>
      </w:pPr>
    </w:p>
    <w:p w14:paraId="57611AD7">
      <w:pPr>
        <w:jc w:val="center"/>
        <w:rPr>
          <w:rFonts w:hint="default" w:ascii="Times New Roman" w:hAnsi="Times New Roman" w:eastAsia="楷体_GB2312" w:cs="Times New Roman"/>
          <w:b/>
          <w:sz w:val="32"/>
          <w:szCs w:val="32"/>
          <w:highlight w:val="none"/>
        </w:rPr>
      </w:pPr>
    </w:p>
    <w:p w14:paraId="78A27FBC">
      <w:pPr>
        <w:jc w:val="center"/>
        <w:rPr>
          <w:rFonts w:hint="default" w:ascii="Times New Roman" w:hAnsi="Times New Roman" w:eastAsia="楷体_GB2312" w:cs="Times New Roman"/>
          <w:b/>
          <w:sz w:val="32"/>
          <w:szCs w:val="32"/>
          <w:highlight w:val="none"/>
        </w:rPr>
      </w:pPr>
    </w:p>
    <w:p w14:paraId="46556ADD">
      <w:pPr>
        <w:jc w:val="center"/>
        <w:rPr>
          <w:rFonts w:hint="default" w:ascii="Times New Roman" w:hAnsi="Times New Roman" w:eastAsia="楷体_GB2312" w:cs="Times New Roman"/>
          <w:b/>
          <w:sz w:val="32"/>
          <w:szCs w:val="32"/>
          <w:highlight w:val="none"/>
        </w:rPr>
      </w:pPr>
    </w:p>
    <w:p w14:paraId="5FBCCA31">
      <w:pPr>
        <w:jc w:val="center"/>
        <w:rPr>
          <w:rFonts w:hint="default" w:ascii="Times New Roman" w:hAnsi="Times New Roman" w:eastAsia="黑体" w:cs="Times New Roman"/>
          <w:sz w:val="32"/>
          <w:szCs w:val="32"/>
          <w:highlight w:val="none"/>
        </w:rPr>
      </w:pPr>
    </w:p>
    <w:p w14:paraId="0C7BC7B5">
      <w:pPr>
        <w:jc w:val="center"/>
        <w:rPr>
          <w:rFonts w:hint="default" w:ascii="Times New Roman" w:hAnsi="Times New Roman" w:eastAsia="黑体" w:cs="Times New Roman"/>
          <w:sz w:val="32"/>
          <w:szCs w:val="32"/>
          <w:highlight w:val="none"/>
        </w:rPr>
      </w:pPr>
    </w:p>
    <w:p w14:paraId="5C8B937D">
      <w:pPr>
        <w:jc w:val="center"/>
        <w:rPr>
          <w:rFonts w:hint="default" w:ascii="Times New Roman" w:hAnsi="Times New Roman" w:eastAsia="黑体" w:cs="Times New Roman"/>
          <w:sz w:val="32"/>
          <w:szCs w:val="32"/>
          <w:highlight w:val="none"/>
        </w:rPr>
      </w:pPr>
    </w:p>
    <w:p w14:paraId="14D4F077">
      <w:pPr>
        <w:jc w:val="both"/>
        <w:rPr>
          <w:rFonts w:hint="default" w:ascii="Times New Roman" w:hAnsi="Times New Roman" w:eastAsia="黑体" w:cs="Times New Roman"/>
          <w:sz w:val="32"/>
          <w:szCs w:val="32"/>
          <w:highlight w:val="none"/>
        </w:rPr>
      </w:pPr>
    </w:p>
    <w:p w14:paraId="2B81F9C5">
      <w:pPr>
        <w:jc w:val="center"/>
        <w:rPr>
          <w:rFonts w:hint="default" w:ascii="Times New Roman" w:hAnsi="Times New Roman" w:eastAsia="黑体" w:cs="Times New Roman"/>
          <w:sz w:val="32"/>
          <w:szCs w:val="32"/>
          <w:highlight w:val="none"/>
        </w:rPr>
      </w:pPr>
    </w:p>
    <w:p w14:paraId="1DAEAC5F">
      <w:pPr>
        <w:jc w:val="center"/>
        <w:rPr>
          <w:rFonts w:hint="default" w:ascii="Times New Roman" w:hAnsi="Times New Roman" w:eastAsia="黑体" w:cs="Times New Roman"/>
          <w:sz w:val="32"/>
          <w:szCs w:val="32"/>
          <w:highlight w:val="none"/>
        </w:rPr>
      </w:pPr>
    </w:p>
    <w:p w14:paraId="0AA0B21F">
      <w:pPr>
        <w:jc w:val="center"/>
        <w:rPr>
          <w:rFonts w:hint="default" w:ascii="Times New Roman" w:hAnsi="Times New Roman" w:eastAsia="黑体" w:cs="Times New Roman"/>
          <w:sz w:val="32"/>
          <w:szCs w:val="32"/>
          <w:highlight w:val="none"/>
        </w:rPr>
      </w:pPr>
    </w:p>
    <w:p w14:paraId="39C94F18">
      <w:pPr>
        <w:spacing w:line="600" w:lineRule="exact"/>
        <w:jc w:val="center"/>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部门（单位）名称：</w:t>
      </w:r>
      <w:r>
        <w:rPr>
          <w:rFonts w:hint="default" w:ascii="Times New Roman" w:hAnsi="Times New Roman" w:eastAsia="仿宋_GB2312" w:cs="Times New Roman"/>
          <w:sz w:val="32"/>
          <w:szCs w:val="32"/>
          <w:highlight w:val="none"/>
          <w:u w:val="single"/>
        </w:rPr>
        <w:t>（盖章）</w:t>
      </w:r>
    </w:p>
    <w:p w14:paraId="7DB7C6C9">
      <w:pPr>
        <w:spacing w:line="600" w:lineRule="exact"/>
        <w:jc w:val="center"/>
        <w:rPr>
          <w:rFonts w:hint="default"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lang w:val="en-US" w:eastAsia="zh-CN"/>
        </w:rPr>
        <w:t>2026</w:t>
      </w:r>
      <w:r>
        <w:rPr>
          <w:rFonts w:hint="default" w:ascii="Times New Roman" w:hAnsi="Times New Roman" w:eastAsia="楷体_GB2312" w:cs="Times New Roman"/>
          <w:sz w:val="32"/>
          <w:szCs w:val="32"/>
          <w:highlight w:val="none"/>
        </w:rPr>
        <w:t>年</w:t>
      </w:r>
      <w:r>
        <w:rPr>
          <w:rFonts w:hint="eastAsia" w:ascii="Times New Roman" w:hAnsi="Times New Roman" w:eastAsia="楷体_GB2312" w:cs="Times New Roman"/>
          <w:sz w:val="32"/>
          <w:szCs w:val="32"/>
          <w:highlight w:val="none"/>
          <w:lang w:val="en-US" w:eastAsia="zh-CN"/>
        </w:rPr>
        <w:t>6</w:t>
      </w:r>
      <w:r>
        <w:rPr>
          <w:rFonts w:hint="default" w:ascii="Times New Roman" w:hAnsi="Times New Roman" w:eastAsia="楷体_GB2312" w:cs="Times New Roman"/>
          <w:sz w:val="32"/>
          <w:szCs w:val="32"/>
          <w:highlight w:val="none"/>
        </w:rPr>
        <w:t xml:space="preserve"> 月 </w:t>
      </w:r>
      <w:r>
        <w:rPr>
          <w:rFonts w:hint="eastAsia" w:ascii="Times New Roman" w:hAnsi="Times New Roman" w:eastAsia="楷体_GB2312" w:cs="Times New Roman"/>
          <w:sz w:val="32"/>
          <w:szCs w:val="32"/>
          <w:highlight w:val="none"/>
          <w:lang w:val="en-US" w:eastAsia="zh-CN"/>
        </w:rPr>
        <w:t>1</w:t>
      </w:r>
      <w:r>
        <w:rPr>
          <w:rFonts w:hint="default" w:ascii="Times New Roman" w:hAnsi="Times New Roman" w:eastAsia="楷体_GB2312" w:cs="Times New Roman"/>
          <w:sz w:val="32"/>
          <w:szCs w:val="32"/>
          <w:highlight w:val="none"/>
        </w:rPr>
        <w:t>日</w:t>
      </w:r>
    </w:p>
    <w:p w14:paraId="1DCB6C5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hAnsi="方正小标宋简体" w:eastAsia="方正小标宋简体" w:cs="方正小标宋简体"/>
          <w:sz w:val="44"/>
          <w:szCs w:val="44"/>
          <w:highlight w:val="none"/>
        </w:rPr>
      </w:pPr>
      <w:r>
        <w:rPr>
          <w:rFonts w:hint="default" w:ascii="Times New Roman" w:hAnsi="Times New Roman" w:eastAsia="仿宋_GB2312" w:cs="Times New Roman"/>
          <w:sz w:val="32"/>
          <w:szCs w:val="32"/>
          <w:highlight w:val="none"/>
        </w:rPr>
        <w:br w:type="page"/>
      </w: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w:t>
      </w:r>
      <w:r>
        <w:rPr>
          <w:rFonts w:hint="default" w:ascii="方正小标宋简体" w:hAnsi="方正小标宋简体" w:eastAsia="方正小标宋简体" w:cs="方正小标宋简体"/>
          <w:sz w:val="44"/>
          <w:szCs w:val="44"/>
          <w:highlight w:val="none"/>
        </w:rPr>
        <w:t>岳阳市生态环境局屈原分局</w:t>
      </w:r>
    </w:p>
    <w:p w14:paraId="755F703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整体支出绩效自评报告</w:t>
      </w:r>
    </w:p>
    <w:p w14:paraId="179FD958">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29005255">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部门（单位）基本情况</w:t>
      </w:r>
    </w:p>
    <w:p w14:paraId="07B0FEF6">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（一）职能职责</w:t>
      </w:r>
    </w:p>
    <w:p w14:paraId="2CC3E5E1">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1、受市生态环境局委托，承担辖区内的生态环境相关工作；承担市生态环境局和区管委会交办的其他任务。</w:t>
      </w:r>
    </w:p>
    <w:p w14:paraId="4F71C84B">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本辖区内重点污染源在线监控系统现场监督管理；负责受理和办理生态环境保护举报（信访），负责生态环境信访维稳事件的现场调查处置工作，负责本辖区生态环境质量监测、执法监测、污染源监测和应急监测。</w:t>
      </w:r>
    </w:p>
    <w:p w14:paraId="0B4A53BC">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（二）机构设置</w:t>
      </w:r>
    </w:p>
    <w:p w14:paraId="740CFCE3">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rPr>
      </w:pPr>
      <w:r>
        <w:rPr>
          <w:rFonts w:hint="eastAsia" w:ascii="仿宋_GB2312" w:hAnsi="仿宋_GB2312" w:eastAsia="仿宋_GB2312" w:cs="仿宋_GB2312"/>
          <w:sz w:val="32"/>
          <w:szCs w:val="32"/>
        </w:rPr>
        <w:t>屈原生态环境分局属岳阳市生态环境局二级机构。根据分局的整体情况，分局下设四个股室（办公室、监察大队、管理股、法制股）。分局目前</w:t>
      </w:r>
      <w:r>
        <w:rPr>
          <w:rFonts w:hint="eastAsia" w:ascii="仿宋_GB2312" w:hAnsi="仿宋_GB2312" w:eastAsia="仿宋_GB2312" w:cs="仿宋_GB2312"/>
          <w:sz w:val="32"/>
          <w:szCs w:val="32"/>
          <w:lang w:eastAsia="zh-CN"/>
        </w:rPr>
        <w:t>在职</w:t>
      </w:r>
      <w:r>
        <w:rPr>
          <w:rFonts w:hint="eastAsia" w:ascii="仿宋_GB2312" w:hAnsi="仿宋_GB2312" w:eastAsia="仿宋_GB2312" w:cs="仿宋_GB2312"/>
          <w:sz w:val="32"/>
          <w:szCs w:val="32"/>
        </w:rPr>
        <w:t>在编人员</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退休1人</w:t>
      </w:r>
      <w:r>
        <w:rPr>
          <w:rFonts w:hint="eastAsia" w:ascii="仿宋_GB2312" w:hAnsi="仿宋_GB2312" w:eastAsia="仿宋_GB2312" w:cs="仿宋_GB2312"/>
          <w:sz w:val="32"/>
          <w:szCs w:val="32"/>
        </w:rPr>
        <w:t>。</w:t>
      </w:r>
    </w:p>
    <w:p w14:paraId="36F3919A">
      <w:pPr>
        <w:pStyle w:val="13"/>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二、一般公共预算支出情况</w:t>
      </w:r>
    </w:p>
    <w:p w14:paraId="67EB6AEE">
      <w:pPr>
        <w:pStyle w:val="13"/>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（一）基本支出情况</w:t>
      </w:r>
    </w:p>
    <w:p w14:paraId="5816C65F">
      <w:pPr>
        <w:pStyle w:val="13"/>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en-US" w:bidi="ar-SA"/>
        </w:rPr>
      </w:pPr>
      <w:r>
        <w:rPr>
          <w:rFonts w:hint="eastAsia" w:ascii="仿宋_GB2312" w:hAnsi="仿宋_GB2312" w:eastAsia="仿宋_GB2312" w:cs="仿宋_GB2312"/>
          <w:kern w:val="0"/>
          <w:sz w:val="32"/>
          <w:szCs w:val="32"/>
          <w:lang w:val="en-US" w:eastAsia="en-US" w:bidi="ar-SA"/>
        </w:rPr>
        <w:t>我分局202</w:t>
      </w:r>
      <w:r>
        <w:rPr>
          <w:rFonts w:hint="eastAsia" w:ascii="仿宋_GB2312" w:hAnsi="仿宋_GB2312" w:eastAsia="仿宋_GB2312" w:cs="仿宋_GB2312"/>
          <w:kern w:val="0"/>
          <w:sz w:val="32"/>
          <w:szCs w:val="32"/>
          <w:lang w:val="en-US" w:eastAsia="zh-CN" w:bidi="ar-SA"/>
        </w:rPr>
        <w:t>5</w:t>
      </w:r>
      <w:r>
        <w:rPr>
          <w:rFonts w:hint="eastAsia" w:ascii="仿宋_GB2312" w:hAnsi="仿宋_GB2312" w:eastAsia="仿宋_GB2312" w:cs="仿宋_GB2312"/>
          <w:kern w:val="0"/>
          <w:sz w:val="32"/>
          <w:szCs w:val="32"/>
          <w:lang w:val="en-US" w:eastAsia="en-US" w:bidi="ar-SA"/>
        </w:rPr>
        <w:t>年度</w:t>
      </w:r>
      <w:r>
        <w:rPr>
          <w:rFonts w:hint="eastAsia" w:ascii="仿宋_GB2312" w:hAnsi="仿宋_GB2312" w:eastAsia="仿宋_GB2312" w:cs="仿宋_GB2312"/>
          <w:kern w:val="0"/>
          <w:sz w:val="32"/>
          <w:szCs w:val="32"/>
          <w:lang w:val="en-US" w:eastAsia="zh-CN" w:bidi="ar-SA"/>
        </w:rPr>
        <w:t>基本</w:t>
      </w:r>
      <w:r>
        <w:rPr>
          <w:rFonts w:hint="eastAsia" w:ascii="仿宋_GB2312" w:hAnsi="仿宋_GB2312" w:eastAsia="仿宋_GB2312" w:cs="仿宋_GB2312"/>
          <w:kern w:val="0"/>
          <w:sz w:val="32"/>
          <w:szCs w:val="32"/>
          <w:lang w:val="en-US" w:eastAsia="en-US" w:bidi="ar-SA"/>
        </w:rPr>
        <w:t>支出</w:t>
      </w:r>
      <w:r>
        <w:rPr>
          <w:rFonts w:hint="eastAsia" w:ascii="仿宋_GB2312" w:hAnsi="仿宋_GB2312" w:eastAsia="仿宋_GB2312" w:cs="仿宋_GB2312"/>
          <w:kern w:val="0"/>
          <w:sz w:val="32"/>
          <w:szCs w:val="32"/>
          <w:lang w:val="en-US" w:eastAsia="zh-CN" w:bidi="ar-SA"/>
        </w:rPr>
        <w:t>221.77</w:t>
      </w:r>
      <w:r>
        <w:rPr>
          <w:rFonts w:hint="eastAsia" w:ascii="仿宋_GB2312" w:hAnsi="仿宋_GB2312" w:eastAsia="仿宋_GB2312" w:cs="仿宋_GB2312"/>
          <w:kern w:val="0"/>
          <w:sz w:val="32"/>
          <w:szCs w:val="32"/>
          <w:lang w:val="en-US" w:eastAsia="en-US" w:bidi="ar-SA"/>
        </w:rPr>
        <w:t>万元，其中工资福利性支出</w:t>
      </w:r>
      <w:r>
        <w:rPr>
          <w:rFonts w:hint="eastAsia" w:ascii="仿宋_GB2312" w:hAnsi="仿宋_GB2312" w:eastAsia="仿宋_GB2312" w:cs="仿宋_GB2312"/>
          <w:kern w:val="0"/>
          <w:sz w:val="32"/>
          <w:szCs w:val="32"/>
          <w:lang w:val="en-US" w:eastAsia="zh-CN" w:bidi="ar-SA"/>
        </w:rPr>
        <w:t>102.87</w:t>
      </w:r>
      <w:r>
        <w:rPr>
          <w:rFonts w:hint="eastAsia" w:ascii="仿宋_GB2312" w:hAnsi="仿宋_GB2312" w:eastAsia="仿宋_GB2312" w:cs="仿宋_GB2312"/>
          <w:kern w:val="0"/>
          <w:sz w:val="32"/>
          <w:szCs w:val="32"/>
          <w:lang w:val="en-US" w:eastAsia="en-US" w:bidi="ar-SA"/>
        </w:rPr>
        <w:t>万元，商品和服务性支出</w:t>
      </w:r>
      <w:r>
        <w:rPr>
          <w:rFonts w:hint="eastAsia" w:ascii="仿宋_GB2312" w:hAnsi="仿宋_GB2312" w:eastAsia="仿宋_GB2312" w:cs="仿宋_GB2312"/>
          <w:kern w:val="0"/>
          <w:sz w:val="32"/>
          <w:szCs w:val="32"/>
          <w:lang w:val="en-US" w:eastAsia="zh-CN" w:bidi="ar-SA"/>
        </w:rPr>
        <w:t>82.78</w:t>
      </w:r>
      <w:r>
        <w:rPr>
          <w:rFonts w:hint="eastAsia" w:ascii="仿宋_GB2312" w:hAnsi="仿宋_GB2312" w:eastAsia="仿宋_GB2312" w:cs="仿宋_GB2312"/>
          <w:kern w:val="0"/>
          <w:sz w:val="32"/>
          <w:szCs w:val="32"/>
          <w:lang w:val="en-US" w:eastAsia="en-US" w:bidi="ar-SA"/>
        </w:rPr>
        <w:t>万元，其他对个人及家庭的补助7.93万元</w:t>
      </w:r>
      <w:r>
        <w:rPr>
          <w:rFonts w:hint="eastAsia" w:ascii="仿宋_GB2312" w:hAnsi="仿宋_GB2312" w:eastAsia="仿宋_GB2312" w:cs="仿宋_GB2312"/>
          <w:kern w:val="0"/>
          <w:sz w:val="32"/>
          <w:szCs w:val="32"/>
          <w:lang w:val="en-US" w:eastAsia="zh-CN" w:bidi="ar-SA"/>
        </w:rPr>
        <w:t>，资本性支出28.19。</w:t>
      </w:r>
      <w:r>
        <w:rPr>
          <w:rFonts w:hint="eastAsia" w:ascii="仿宋_GB2312" w:hAnsi="仿宋_GB2312" w:eastAsia="仿宋_GB2312" w:cs="仿宋_GB2312"/>
          <w:kern w:val="0"/>
          <w:sz w:val="32"/>
          <w:szCs w:val="32"/>
          <w:lang w:val="en-US" w:eastAsia="en-US" w:bidi="ar-SA"/>
        </w:rPr>
        <w:t>主要用于人员经费和环境宣传、资产采购、“三公”经费等公用支出。</w:t>
      </w:r>
    </w:p>
    <w:p w14:paraId="20439D69">
      <w:pPr>
        <w:pStyle w:val="1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kern w:val="0"/>
          <w:sz w:val="32"/>
          <w:szCs w:val="32"/>
          <w:lang w:val="en-US" w:eastAsia="zh-CN" w:bidi="ar-SA"/>
        </w:rPr>
        <w:t>（二）</w:t>
      </w:r>
      <w:r>
        <w:rPr>
          <w:rFonts w:hint="eastAsia" w:ascii="楷体_GB2312" w:hAnsi="楷体_GB2312" w:eastAsia="楷体_GB2312" w:cs="楷体_GB2312"/>
          <w:b w:val="0"/>
          <w:bCs/>
          <w:sz w:val="32"/>
          <w:szCs w:val="32"/>
          <w:highlight w:val="none"/>
        </w:rPr>
        <w:t>项目支出情况</w:t>
      </w:r>
    </w:p>
    <w:p w14:paraId="4058B17B">
      <w:pPr>
        <w:pStyle w:val="1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项目</w:t>
      </w:r>
      <w:r>
        <w:rPr>
          <w:rFonts w:hint="eastAsia" w:ascii="仿宋_GB2312" w:hAnsi="仿宋_GB2312" w:eastAsia="仿宋_GB2312" w:cs="仿宋_GB2312"/>
          <w:kern w:val="0"/>
          <w:sz w:val="32"/>
          <w:szCs w:val="32"/>
          <w:lang w:val="en-US" w:eastAsia="en-US" w:bidi="ar-SA"/>
        </w:rPr>
        <w:t>支出</w:t>
      </w:r>
      <w:r>
        <w:rPr>
          <w:rFonts w:hint="eastAsia" w:ascii="仿宋_GB2312" w:hAnsi="仿宋_GB2312" w:eastAsia="仿宋_GB2312" w:cs="仿宋_GB2312"/>
          <w:kern w:val="0"/>
          <w:sz w:val="32"/>
          <w:szCs w:val="32"/>
          <w:lang w:val="en-US" w:eastAsia="zh-CN" w:bidi="ar-SA"/>
        </w:rPr>
        <w:t>43.07</w:t>
      </w:r>
      <w:r>
        <w:rPr>
          <w:rFonts w:hint="eastAsia" w:ascii="仿宋_GB2312" w:hAnsi="仿宋_GB2312" w:eastAsia="仿宋_GB2312" w:cs="仿宋_GB2312"/>
          <w:kern w:val="0"/>
          <w:sz w:val="32"/>
          <w:szCs w:val="32"/>
          <w:lang w:val="en-US" w:eastAsia="en-US" w:bidi="ar-SA"/>
        </w:rPr>
        <w:t>万元，其中</w:t>
      </w:r>
      <w:r>
        <w:rPr>
          <w:rFonts w:hint="eastAsia" w:ascii="仿宋_GB2312" w:hAnsi="仿宋_GB2312" w:eastAsia="仿宋_GB2312" w:cs="仿宋_GB2312"/>
          <w:kern w:val="0"/>
          <w:sz w:val="32"/>
          <w:szCs w:val="32"/>
          <w:lang w:val="en-US" w:eastAsia="zh-CN" w:bidi="ar-SA"/>
        </w:rPr>
        <w:t>环境监测执法经费14.76</w:t>
      </w:r>
      <w:r>
        <w:rPr>
          <w:rFonts w:hint="eastAsia" w:ascii="仿宋_GB2312" w:hAnsi="仿宋_GB2312" w:eastAsia="仿宋_GB2312" w:cs="仿宋_GB2312"/>
          <w:kern w:val="0"/>
          <w:sz w:val="32"/>
          <w:szCs w:val="32"/>
          <w:lang w:val="en-US" w:eastAsia="en-US" w:bidi="ar-SA"/>
        </w:rPr>
        <w:t>万元</w:t>
      </w:r>
      <w:r>
        <w:rPr>
          <w:rFonts w:hint="eastAsia" w:ascii="仿宋_GB2312" w:hAnsi="仿宋_GB2312" w:eastAsia="仿宋_GB2312" w:cs="仿宋_GB2312"/>
          <w:kern w:val="0"/>
          <w:sz w:val="32"/>
          <w:szCs w:val="32"/>
          <w:lang w:val="en-US" w:eastAsia="zh-CN" w:bidi="ar-SA"/>
        </w:rPr>
        <w:t>，办案费21.31万元，秸秆禁烧管控资金7.00万元。</w:t>
      </w:r>
    </w:p>
    <w:p w14:paraId="12D410AE">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kern w:val="0"/>
          <w:sz w:val="32"/>
          <w:szCs w:val="32"/>
          <w:lang w:val="en-US" w:eastAsia="zh-CN" w:bidi="ar-SA"/>
        </w:rPr>
        <w:t>三、</w:t>
      </w:r>
      <w:r>
        <w:rPr>
          <w:rFonts w:hint="eastAsia" w:ascii="黑体" w:hAnsi="黑体" w:eastAsia="黑体" w:cs="黑体"/>
          <w:sz w:val="32"/>
          <w:szCs w:val="32"/>
          <w:highlight w:val="none"/>
        </w:rPr>
        <w:t>政府性基金预算支出情况</w:t>
      </w:r>
    </w:p>
    <w:p w14:paraId="742AAF1B">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bookmarkStart w:id="3" w:name="OLE_LINK8"/>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bookmarkEnd w:id="3"/>
      <w:r>
        <w:rPr>
          <w:rFonts w:hint="eastAsia" w:ascii="仿宋_GB2312" w:hAnsi="仿宋_GB2312" w:eastAsia="仿宋_GB2312" w:cs="仿宋_GB2312"/>
          <w:sz w:val="32"/>
          <w:szCs w:val="32"/>
        </w:rPr>
        <w:t>本单位没有使用政府性基金预算安排的</w:t>
      </w:r>
      <w:r>
        <w:rPr>
          <w:rFonts w:hint="eastAsia" w:ascii="仿宋_GB2312" w:hAnsi="仿宋_GB2312" w:eastAsia="仿宋_GB2312" w:cs="仿宋_GB2312"/>
          <w:sz w:val="32"/>
          <w:szCs w:val="32"/>
          <w:lang w:val="en-US" w:eastAsia="zh-CN"/>
        </w:rPr>
        <w:t>支出</w:t>
      </w:r>
      <w:r>
        <w:rPr>
          <w:rFonts w:hint="eastAsia" w:ascii="仿宋_GB2312" w:hAnsi="仿宋_GB2312" w:eastAsia="仿宋_GB2312" w:cs="仿宋_GB2312"/>
          <w:sz w:val="32"/>
          <w:szCs w:val="32"/>
        </w:rPr>
        <w:t>。</w:t>
      </w:r>
    </w:p>
    <w:p w14:paraId="63006C19">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kern w:val="0"/>
          <w:sz w:val="32"/>
          <w:szCs w:val="32"/>
          <w:lang w:val="en-US" w:eastAsia="zh-CN" w:bidi="ar-SA"/>
        </w:rPr>
        <w:t>四、</w:t>
      </w:r>
      <w:r>
        <w:rPr>
          <w:rFonts w:hint="eastAsia" w:ascii="黑体" w:hAnsi="黑体" w:eastAsia="黑体" w:cs="黑体"/>
          <w:sz w:val="32"/>
          <w:szCs w:val="32"/>
          <w:highlight w:val="none"/>
        </w:rPr>
        <w:t>国有资本经营预算支出情况</w:t>
      </w:r>
    </w:p>
    <w:p w14:paraId="166F966B">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年本单位没有使用</w:t>
      </w:r>
      <w:r>
        <w:rPr>
          <w:rFonts w:hint="eastAsia" w:ascii="仿宋_GB2312" w:hAnsi="仿宋_GB2312" w:eastAsia="仿宋_GB2312" w:cs="仿宋_GB2312"/>
          <w:sz w:val="32"/>
          <w:szCs w:val="32"/>
          <w:lang w:val="en-US" w:eastAsia="zh-CN"/>
        </w:rPr>
        <w:t>国有资本经营预算</w:t>
      </w:r>
      <w:r>
        <w:rPr>
          <w:rFonts w:hint="eastAsia" w:ascii="仿宋_GB2312" w:hAnsi="仿宋_GB2312" w:eastAsia="仿宋_GB2312" w:cs="仿宋_GB2312"/>
          <w:sz w:val="32"/>
          <w:szCs w:val="32"/>
        </w:rPr>
        <w:t>安排的</w:t>
      </w:r>
      <w:r>
        <w:rPr>
          <w:rFonts w:hint="eastAsia" w:ascii="仿宋_GB2312" w:hAnsi="仿宋_GB2312" w:eastAsia="仿宋_GB2312" w:cs="仿宋_GB2312"/>
          <w:sz w:val="32"/>
          <w:szCs w:val="32"/>
          <w:lang w:val="en-US" w:eastAsia="zh-CN"/>
        </w:rPr>
        <w:t>支出</w:t>
      </w:r>
      <w:r>
        <w:rPr>
          <w:rFonts w:hint="eastAsia" w:ascii="仿宋_GB2312" w:hAnsi="仿宋_GB2312" w:eastAsia="仿宋_GB2312" w:cs="仿宋_GB2312"/>
          <w:sz w:val="32"/>
          <w:szCs w:val="32"/>
        </w:rPr>
        <w:t>。</w:t>
      </w:r>
    </w:p>
    <w:p w14:paraId="73606771">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kern w:val="0"/>
          <w:sz w:val="32"/>
          <w:szCs w:val="32"/>
          <w:lang w:val="en-US" w:eastAsia="zh-CN" w:bidi="ar-SA"/>
        </w:rPr>
        <w:t>五、</w:t>
      </w:r>
      <w:r>
        <w:rPr>
          <w:rFonts w:hint="eastAsia" w:ascii="黑体" w:hAnsi="黑体" w:eastAsia="黑体" w:cs="黑体"/>
          <w:sz w:val="32"/>
          <w:szCs w:val="32"/>
          <w:highlight w:val="none"/>
        </w:rPr>
        <w:t>社会保险基金预算支出情况</w:t>
      </w:r>
    </w:p>
    <w:p w14:paraId="2568004F">
      <w:pPr>
        <w:pStyle w:val="13"/>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年本单位没有使用</w:t>
      </w:r>
      <w:r>
        <w:rPr>
          <w:rFonts w:hint="eastAsia" w:ascii="仿宋_GB2312" w:hAnsi="仿宋_GB2312" w:eastAsia="仿宋_GB2312" w:cs="仿宋_GB2312"/>
          <w:sz w:val="32"/>
          <w:szCs w:val="32"/>
          <w:lang w:val="en-US" w:eastAsia="zh-CN"/>
        </w:rPr>
        <w:t>社会保险基金预算</w:t>
      </w:r>
      <w:r>
        <w:rPr>
          <w:rFonts w:hint="eastAsia" w:ascii="仿宋_GB2312" w:hAnsi="仿宋_GB2312" w:eastAsia="仿宋_GB2312" w:cs="仿宋_GB2312"/>
          <w:sz w:val="32"/>
          <w:szCs w:val="32"/>
        </w:rPr>
        <w:t>安排的</w:t>
      </w:r>
      <w:r>
        <w:rPr>
          <w:rFonts w:hint="eastAsia" w:ascii="仿宋_GB2312" w:hAnsi="仿宋_GB2312" w:eastAsia="仿宋_GB2312" w:cs="仿宋_GB2312"/>
          <w:sz w:val="32"/>
          <w:szCs w:val="32"/>
          <w:lang w:val="en-US" w:eastAsia="zh-CN"/>
        </w:rPr>
        <w:t>支出</w:t>
      </w:r>
      <w:r>
        <w:rPr>
          <w:rFonts w:hint="eastAsia" w:ascii="仿宋_GB2312" w:hAnsi="仿宋_GB2312" w:eastAsia="仿宋_GB2312" w:cs="仿宋_GB2312"/>
          <w:sz w:val="32"/>
          <w:szCs w:val="32"/>
        </w:rPr>
        <w:t>。</w:t>
      </w:r>
    </w:p>
    <w:p w14:paraId="15C28F4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六、部门整体支出绩效情况</w:t>
      </w:r>
    </w:p>
    <w:p w14:paraId="4D83CE88">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SA"/>
        </w:rPr>
        <w:t>今年，我区空气优良率为89.9%，其中，PM2.5平均浓度为31.2微克/立方米，(我区无大气监测站点，空气质量数据采用汨罗、湘阴各指数的平均值)，空气环境质量改善率达8.77%。我区全年地表水水质达到或好于Ⅲ类水体比例100%。屈原自来水、磊石山两个断面均保持Ⅱ类水质，总磷浓度稳中有降，集中式饮用水水源地水质达标率100%。</w:t>
      </w:r>
    </w:p>
    <w:p w14:paraId="4A09F5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color w:val="000000"/>
          <w:kern w:val="0"/>
          <w:sz w:val="32"/>
          <w:szCs w:val="32"/>
          <w:lang w:val="en-US" w:eastAsia="zh-CN"/>
        </w:rPr>
      </w:pPr>
      <w:r>
        <w:rPr>
          <w:rFonts w:hint="eastAsia" w:ascii="楷体_GB2312" w:hAnsi="楷体_GB2312" w:eastAsia="楷体_GB2312" w:cs="楷体_GB2312"/>
          <w:b w:val="0"/>
          <w:bCs w:val="0"/>
          <w:color w:val="000000"/>
          <w:kern w:val="0"/>
          <w:sz w:val="32"/>
          <w:szCs w:val="32"/>
          <w:lang w:val="en-US" w:eastAsia="zh-CN"/>
        </w:rPr>
        <w:t>（一）在治理上提标，全力打好“三大”攻坚战</w:t>
      </w:r>
    </w:p>
    <w:p w14:paraId="3B237359">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1、全力打好蓝天保卫战。</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持续开展挥发有机物（VOCs）综合治理。</w:t>
      </w:r>
      <w:r>
        <w:rPr>
          <w:rFonts w:hint="eastAsia" w:ascii="仿宋_GB2312" w:hAnsi="仿宋_GB2312" w:eastAsia="仿宋_GB2312" w:cs="仿宋_GB2312"/>
          <w:b w:val="0"/>
          <w:bCs w:val="0"/>
          <w:sz w:val="32"/>
          <w:szCs w:val="32"/>
        </w:rPr>
        <w:t>重点行业企业提标（达标）改造清单（VOCs提标改造）任务2家已完成</w:t>
      </w:r>
      <w:r>
        <w:rPr>
          <w:rFonts w:hint="eastAsia" w:ascii="仿宋_GB2312" w:hAnsi="仿宋_GB2312" w:eastAsia="仿宋_GB2312" w:cs="仿宋_GB2312"/>
          <w:sz w:val="32"/>
          <w:szCs w:val="32"/>
        </w:rPr>
        <w:t>；锅炉淘汰任务方面，已完成全部9台10蒸吨/小时及以下燃煤锅炉和热风炉淘汰任务，18台2蒸吨/小时及以下生物质锅炉已淘汰注销18台；加油站三次油气回收治理任务1家，其建设内容由市公司统一安排组织实施，</w:t>
      </w:r>
      <w:r>
        <w:rPr>
          <w:rFonts w:hint="eastAsia" w:ascii="仿宋_GB2312" w:hAnsi="仿宋_GB2312" w:eastAsia="仿宋_GB2312" w:cs="仿宋_GB2312"/>
          <w:sz w:val="32"/>
          <w:szCs w:val="32"/>
          <w:lang w:eastAsia="zh-CN"/>
        </w:rPr>
        <w:t>已完成安装</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color w:val="000000"/>
          <w:kern w:val="2"/>
          <w:sz w:val="32"/>
          <w:szCs w:val="32"/>
          <w:lang w:val="en-US" w:eastAsia="zh-CN" w:bidi="ar-SA"/>
        </w:rPr>
        <w:t>深入开展氮氧化物、PM2.5协同管控。</w:t>
      </w:r>
      <w:r>
        <w:rPr>
          <w:rFonts w:hint="eastAsia" w:ascii="仿宋_GB2312" w:hAnsi="仿宋_GB2312" w:eastAsia="仿宋_GB2312" w:cs="仿宋_GB2312"/>
          <w:sz w:val="32"/>
          <w:szCs w:val="32"/>
        </w:rPr>
        <w:t>《&lt;移动源污染防治标志性战役实施方案&gt;2025年重点任务目标清单》明确的6项重点任务</w:t>
      </w:r>
      <w:r>
        <w:rPr>
          <w:rFonts w:hint="eastAsia" w:ascii="仿宋_GB2312" w:hAnsi="仿宋_GB2312" w:eastAsia="仿宋_GB2312" w:cs="仿宋_GB2312"/>
          <w:sz w:val="32"/>
          <w:szCs w:val="32"/>
          <w:lang w:eastAsia="zh-CN"/>
        </w:rPr>
        <w:t>已完成、</w:t>
      </w:r>
      <w:r>
        <w:rPr>
          <w:rFonts w:hint="eastAsia" w:ascii="仿宋_GB2312" w:hAnsi="仿宋_GB2312" w:eastAsia="仿宋_GB2312" w:cs="仿宋_GB2312"/>
          <w:sz w:val="32"/>
          <w:szCs w:val="32"/>
        </w:rPr>
        <w:t>老旧农机具任务110台套淘汰工作已完成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路检路查及入户检查任务量为80台，由市局统筹安排，目前</w:t>
      </w:r>
      <w:r>
        <w:rPr>
          <w:rFonts w:hint="eastAsia" w:ascii="仿宋_GB2312" w:hAnsi="仿宋_GB2312" w:eastAsia="仿宋_GB2312" w:cs="仿宋_GB2312"/>
          <w:sz w:val="32"/>
          <w:szCs w:val="32"/>
          <w:lang w:eastAsia="zh-CN"/>
        </w:rPr>
        <w:t>已完成全部</w:t>
      </w:r>
      <w:r>
        <w:rPr>
          <w:rFonts w:hint="eastAsia" w:ascii="仿宋_GB2312" w:hAnsi="仿宋_GB2312" w:eastAsia="仿宋_GB2312" w:cs="仿宋_GB2312"/>
          <w:sz w:val="32"/>
          <w:szCs w:val="32"/>
          <w:lang w:val="en-US" w:eastAsia="zh-CN"/>
        </w:rPr>
        <w:t>80台车辆检查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专项巡查抽检全区范围内非道路移动机械任务量20台已完成。</w:t>
      </w:r>
      <w:r>
        <w:rPr>
          <w:rFonts w:hint="eastAsia" w:ascii="仿宋_GB2312" w:hAnsi="仿宋_GB2312" w:eastAsia="仿宋_GB2312" w:cs="仿宋_GB2312"/>
          <w:b/>
          <w:bCs/>
          <w:sz w:val="32"/>
          <w:szCs w:val="32"/>
          <w:lang w:val="en-US" w:eastAsia="zh-CN"/>
        </w:rPr>
        <w:t>三是</w:t>
      </w:r>
      <w:bookmarkStart w:id="4" w:name="OLE_LINK10"/>
      <w:r>
        <w:rPr>
          <w:rFonts w:hint="eastAsia" w:ascii="仿宋_GB2312" w:hAnsi="仿宋_GB2312" w:eastAsia="仿宋_GB2312" w:cs="仿宋_GB2312"/>
          <w:b w:val="0"/>
          <w:bCs w:val="0"/>
          <w:color w:val="000000"/>
          <w:kern w:val="2"/>
          <w:sz w:val="32"/>
          <w:szCs w:val="32"/>
          <w:lang w:val="en-US" w:eastAsia="zh-CN" w:bidi="ar-SA"/>
        </w:rPr>
        <w:t>实施重污染天气重点行业绩效提级</w:t>
      </w:r>
      <w:bookmarkEnd w:id="4"/>
      <w:r>
        <w:rPr>
          <w:rFonts w:hint="eastAsia" w:ascii="仿宋_GB2312" w:hAnsi="仿宋_GB2312" w:eastAsia="仿宋_GB2312" w:cs="仿宋_GB2312"/>
          <w:b w:val="0"/>
          <w:bCs w:val="0"/>
          <w:color w:val="000000"/>
          <w:kern w:val="2"/>
          <w:sz w:val="32"/>
          <w:szCs w:val="32"/>
          <w:lang w:val="en-US" w:eastAsia="zh-CN" w:bidi="ar-SA"/>
        </w:rPr>
        <w:t>。</w:t>
      </w:r>
      <w:r>
        <w:rPr>
          <w:rFonts w:hint="eastAsia" w:ascii="仿宋_GB2312" w:hAnsi="仿宋_GB2312" w:eastAsia="仿宋_GB2312" w:cs="仿宋_GB2312"/>
          <w:sz w:val="32"/>
          <w:szCs w:val="32"/>
          <w:lang w:val="en-US" w:eastAsia="zh-CN"/>
        </w:rPr>
        <w:t>按照省、市要求实施重点行业绩效分级管控，修改《屈原管理区重污染天气应急预案》部分条款，深入推进环境污染治理，规范企业绩效分级管理流程。此外，全面核定了全区工业污染源重污染天气应急减排清单企业，督促企业落实重污染天气黄色预警预警响应；</w:t>
      </w:r>
      <w:r>
        <w:rPr>
          <w:rFonts w:hint="eastAsia" w:ascii="仿宋_GB2312" w:hAnsi="仿宋_GB2312" w:eastAsia="仿宋_GB2312" w:cs="仿宋_GB2312"/>
          <w:b/>
          <w:bCs/>
          <w:sz w:val="32"/>
          <w:szCs w:val="32"/>
          <w:lang w:val="en-US" w:eastAsia="zh-CN"/>
        </w:rPr>
        <w:t>四是</w:t>
      </w:r>
      <w:bookmarkStart w:id="5" w:name="OLE_LINK11"/>
      <w:r>
        <w:rPr>
          <w:rFonts w:hint="eastAsia" w:ascii="仿宋_GB2312" w:hAnsi="仿宋_GB2312" w:eastAsia="仿宋_GB2312" w:cs="仿宋_GB2312"/>
          <w:b w:val="0"/>
          <w:bCs w:val="0"/>
          <w:sz w:val="32"/>
          <w:szCs w:val="32"/>
          <w:lang w:val="en-US" w:eastAsia="zh-CN"/>
        </w:rPr>
        <w:t>积极推进秸秆禁烧及禁炮工作</w:t>
      </w:r>
      <w:bookmarkEnd w:id="5"/>
      <w:r>
        <w:rPr>
          <w:rFonts w:hint="eastAsia" w:ascii="仿宋_GB2312" w:hAnsi="仿宋_GB2312" w:eastAsia="仿宋_GB2312" w:cs="仿宋_GB2312"/>
          <w:sz w:val="32"/>
          <w:szCs w:val="32"/>
          <w:lang w:val="en-US" w:eastAsia="zh-CN"/>
        </w:rPr>
        <w:t>。区领导多次召开全区相关工作会议，组建领导小组，发布辖区禁限烧、禁放范围，成立巡查组，对乡镇、街道开展不间断巡查，制作禁炮宣传小视频。很大程度上宣传了</w:t>
      </w:r>
      <w:r>
        <w:rPr>
          <w:rFonts w:hint="eastAsia" w:ascii="仿宋_GB2312" w:hAnsi="仿宋_GB2312" w:eastAsia="仿宋_GB2312" w:cs="仿宋_GB2312"/>
          <w:kern w:val="2"/>
          <w:sz w:val="32"/>
          <w:szCs w:val="32"/>
          <w:lang w:val="en-US" w:eastAsia="zh-CN" w:bidi="ar-SA"/>
        </w:rPr>
        <w:t>区内秸秆禁烧、禁炮政策，加强了巡查和管控，提高了秸秆综合利用率，切实做好了大气污染管控工作。</w:t>
      </w:r>
    </w:p>
    <w:p w14:paraId="6EF92012">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color w:val="000000"/>
          <w:kern w:val="2"/>
          <w:sz w:val="32"/>
          <w:szCs w:val="32"/>
          <w:lang w:val="en-US" w:eastAsia="zh-CN" w:bidi="ar-SA"/>
        </w:rPr>
      </w:pPr>
      <w:r>
        <w:rPr>
          <w:rFonts w:hint="eastAsia" w:ascii="仿宋_GB2312" w:hAnsi="仿宋_GB2312" w:eastAsia="仿宋_GB2312" w:cs="仿宋_GB2312"/>
          <w:b w:val="0"/>
          <w:bCs w:val="0"/>
          <w:sz w:val="32"/>
          <w:szCs w:val="32"/>
          <w:lang w:val="en-US" w:eastAsia="zh-CN"/>
        </w:rPr>
        <w:t>2.</w:t>
      </w:r>
      <w:bookmarkStart w:id="6" w:name="OLE_LINK12"/>
      <w:r>
        <w:rPr>
          <w:rFonts w:hint="eastAsia" w:ascii="仿宋_GB2312" w:hAnsi="仿宋_GB2312" w:eastAsia="仿宋_GB2312" w:cs="仿宋_GB2312"/>
          <w:b w:val="0"/>
          <w:bCs w:val="0"/>
          <w:sz w:val="32"/>
          <w:szCs w:val="32"/>
          <w:lang w:val="en-US" w:eastAsia="zh-CN"/>
        </w:rPr>
        <w:t>全力开展碧水攻坚战</w:t>
      </w:r>
      <w:bookmarkEnd w:id="6"/>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bCs/>
          <w:sz w:val="32"/>
          <w:szCs w:val="32"/>
          <w:lang w:val="en-US" w:eastAsia="zh-CN"/>
        </w:rPr>
        <w:t>一是</w:t>
      </w:r>
      <w:bookmarkStart w:id="7" w:name="OLE_LINK14"/>
      <w:r>
        <w:rPr>
          <w:rFonts w:hint="eastAsia" w:ascii="仿宋_GB2312" w:hAnsi="仿宋_GB2312" w:eastAsia="仿宋_GB2312" w:cs="仿宋_GB2312"/>
          <w:b w:val="0"/>
          <w:bCs w:val="0"/>
          <w:color w:val="000000"/>
          <w:kern w:val="2"/>
          <w:sz w:val="32"/>
          <w:szCs w:val="32"/>
          <w:lang w:val="en-US" w:eastAsia="zh-CN" w:bidi="ar-SA"/>
        </w:rPr>
        <w:t>全面完成</w:t>
      </w:r>
      <w:r>
        <w:rPr>
          <w:rFonts w:hint="eastAsia" w:ascii="仿宋_GB2312" w:hAnsi="仿宋_GB2312" w:eastAsia="仿宋_GB2312" w:cs="仿宋_GB2312"/>
          <w:b w:val="0"/>
          <w:bCs w:val="0"/>
          <w:sz w:val="32"/>
          <w:szCs w:val="32"/>
          <w:lang w:val="en-US" w:eastAsia="zh-CN"/>
        </w:rPr>
        <w:t>今年</w:t>
      </w:r>
      <w:r>
        <w:rPr>
          <w:rFonts w:hint="eastAsia" w:ascii="仿宋_GB2312" w:hAnsi="仿宋_GB2312" w:eastAsia="仿宋_GB2312" w:cs="仿宋_GB2312"/>
          <w:b w:val="0"/>
          <w:bCs w:val="0"/>
          <w:color w:val="000000"/>
          <w:kern w:val="2"/>
          <w:sz w:val="32"/>
          <w:szCs w:val="32"/>
          <w:lang w:val="en-US" w:eastAsia="zh-CN" w:bidi="ar-SA"/>
        </w:rPr>
        <w:t>入河排污口整治任务</w:t>
      </w:r>
      <w:bookmarkEnd w:id="7"/>
      <w:r>
        <w:rPr>
          <w:rFonts w:hint="eastAsia" w:ascii="仿宋_GB2312" w:hAnsi="仿宋_GB2312" w:eastAsia="仿宋_GB2312" w:cs="仿宋_GB2312"/>
          <w:sz w:val="32"/>
          <w:szCs w:val="32"/>
        </w:rPr>
        <w:t>推进洞庭湖总磷污染控制与削减攻坚行动。任务</w:t>
      </w:r>
      <w:r>
        <w:rPr>
          <w:rFonts w:hint="eastAsia" w:ascii="仿宋_GB2312" w:hAnsi="仿宋_GB2312" w:eastAsia="仿宋_GB2312" w:cs="仿宋_GB2312"/>
          <w:sz w:val="32"/>
          <w:szCs w:val="32"/>
          <w:lang w:eastAsia="zh-CN"/>
        </w:rPr>
        <w:t>共计</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，均</w:t>
      </w:r>
      <w:r>
        <w:rPr>
          <w:rFonts w:hint="eastAsia" w:ascii="仿宋_GB2312" w:hAnsi="仿宋_GB2312" w:eastAsia="仿宋_GB2312" w:cs="仿宋_GB2312"/>
          <w:sz w:val="32"/>
          <w:szCs w:val="32"/>
        </w:rPr>
        <w:t>已完成</w:t>
      </w:r>
      <w:r>
        <w:rPr>
          <w:rFonts w:hint="eastAsia" w:ascii="仿宋_GB2312" w:hAnsi="仿宋_GB2312" w:eastAsia="仿宋_GB2312" w:cs="仿宋_GB2312"/>
          <w:sz w:val="32"/>
          <w:szCs w:val="32"/>
          <w:lang w:eastAsia="zh-CN"/>
        </w:rPr>
        <w:t>销号工作。</w:t>
      </w:r>
      <w:r>
        <w:rPr>
          <w:rFonts w:hint="eastAsia" w:ascii="仿宋_GB2312" w:hAnsi="仿宋_GB2312" w:eastAsia="仿宋_GB2312" w:cs="仿宋_GB2312"/>
          <w:sz w:val="32"/>
          <w:szCs w:val="32"/>
        </w:rPr>
        <w:t>推进山水林田湖草沙一体化保护和修复。东洞庭湖滨带屈原管理区营田段水环境综合治理项目已完成</w:t>
      </w:r>
      <w:r>
        <w:rPr>
          <w:rFonts w:hint="eastAsia" w:ascii="仿宋_GB2312" w:hAnsi="仿宋_GB2312" w:eastAsia="仿宋_GB2312" w:cs="仿宋_GB2312"/>
          <w:color w:val="000000"/>
          <w:kern w:val="0"/>
          <w:sz w:val="32"/>
          <w:szCs w:val="32"/>
          <w:lang w:val="en-US"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b/>
          <w:bCs/>
          <w:sz w:val="32"/>
          <w:szCs w:val="32"/>
          <w:lang w:val="en-US" w:eastAsia="zh-CN"/>
        </w:rPr>
        <w:t>是</w:t>
      </w:r>
      <w:bookmarkStart w:id="8" w:name="OLE_LINK15"/>
      <w:r>
        <w:rPr>
          <w:rFonts w:hint="eastAsia" w:ascii="仿宋_GB2312" w:hAnsi="仿宋_GB2312" w:eastAsia="仿宋_GB2312" w:cs="仿宋_GB2312"/>
          <w:b w:val="0"/>
          <w:bCs w:val="0"/>
          <w:color w:val="000000"/>
          <w:kern w:val="2"/>
          <w:sz w:val="32"/>
          <w:szCs w:val="32"/>
          <w:lang w:val="en-US" w:eastAsia="zh-CN" w:bidi="ar-SA"/>
        </w:rPr>
        <w:t>持续开展全区水生态环境质量监测。</w:t>
      </w:r>
      <w:bookmarkEnd w:id="8"/>
      <w:bookmarkStart w:id="9" w:name="OLE_LINK16"/>
      <w:r>
        <w:rPr>
          <w:rFonts w:hint="eastAsia" w:ascii="仿宋_GB2312" w:hAnsi="仿宋_GB2312" w:eastAsia="仿宋_GB2312" w:cs="仿宋_GB2312"/>
          <w:sz w:val="32"/>
          <w:szCs w:val="32"/>
        </w:rPr>
        <w:t>我区无工业园区，企业以畜禽养殖业为主，</w:t>
      </w:r>
      <w:r>
        <w:rPr>
          <w:rFonts w:hint="eastAsia" w:ascii="仿宋_GB2312" w:hAnsi="仿宋_GB2312" w:eastAsia="仿宋_GB2312" w:cs="仿宋_GB2312"/>
          <w:b w:val="0"/>
          <w:bCs w:val="0"/>
          <w:sz w:val="32"/>
          <w:szCs w:val="32"/>
          <w:lang w:val="en-US" w:eastAsia="zh-CN"/>
        </w:rPr>
        <w:t>全年扫码入企43家次，按要求上传现场检查记录58份，</w:t>
      </w:r>
      <w:r>
        <w:rPr>
          <w:rFonts w:hint="eastAsia" w:ascii="仿宋_GB2312" w:hAnsi="仿宋_GB2312" w:eastAsia="仿宋_GB2312" w:cs="仿宋_GB2312"/>
          <w:sz w:val="32"/>
          <w:szCs w:val="32"/>
        </w:rPr>
        <w:t>针对涉重涉水专项行动方案中描述的问题情况，排查出问题2个并立即对企业开展帮扶指导，指出当前生产环节中存在的问题，并给出解决建议，企业均予以采纳并完成整改。</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b/>
          <w:bCs/>
          <w:sz w:val="32"/>
          <w:szCs w:val="32"/>
          <w:lang w:val="en-US" w:eastAsia="zh-CN"/>
        </w:rPr>
        <w:t>是</w:t>
      </w:r>
      <w:r>
        <w:rPr>
          <w:rFonts w:hint="eastAsia" w:ascii="仿宋_GB2312" w:hAnsi="仿宋_GB2312" w:eastAsia="仿宋_GB2312" w:cs="仿宋_GB2312"/>
          <w:b w:val="0"/>
          <w:bCs w:val="0"/>
          <w:color w:val="000000"/>
          <w:sz w:val="32"/>
          <w:szCs w:val="32"/>
          <w:lang w:val="en-US" w:eastAsia="zh-CN"/>
        </w:rPr>
        <w:t>落实集中式饮用水水源地规范化建设评估工作。对“千吨万人”、县级饮用水源地根据保护区划分报告要求开展评估工作，采集矢量数据，全面排查突出环境问题，摸清饮用水水源地规范化建设现状，形成基础设施台账底册。</w:t>
      </w:r>
    </w:p>
    <w:bookmarkEnd w:id="9"/>
    <w:p w14:paraId="574471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sz w:val="32"/>
          <w:szCs w:val="32"/>
          <w:lang w:val="en-US" w:eastAsia="zh-CN"/>
        </w:rPr>
      </w:pPr>
      <w:r>
        <w:rPr>
          <w:rFonts w:hint="eastAsia" w:ascii="仿宋_GB2312" w:hAnsi="仿宋_GB2312" w:eastAsia="仿宋_GB2312" w:cs="仿宋_GB2312"/>
          <w:b w:val="0"/>
          <w:bCs w:val="0"/>
          <w:sz w:val="32"/>
          <w:szCs w:val="32"/>
          <w:lang w:val="en-US" w:eastAsia="zh-CN"/>
        </w:rPr>
        <w:t>3.</w:t>
      </w:r>
      <w:bookmarkStart w:id="10" w:name="OLE_LINK18"/>
      <w:r>
        <w:rPr>
          <w:rFonts w:hint="eastAsia" w:ascii="仿宋_GB2312" w:hAnsi="仿宋_GB2312" w:eastAsia="仿宋_GB2312" w:cs="仿宋_GB2312"/>
          <w:b w:val="0"/>
          <w:bCs w:val="0"/>
          <w:sz w:val="32"/>
          <w:szCs w:val="32"/>
          <w:lang w:val="en-US" w:eastAsia="zh-CN"/>
        </w:rPr>
        <w:t>全力打好净土保卫战。</w:t>
      </w:r>
      <w:r>
        <w:rPr>
          <w:rFonts w:hint="eastAsia" w:ascii="仿宋_GB2312" w:hAnsi="仿宋_GB2312" w:eastAsia="仿宋_GB2312" w:cs="仿宋_GB2312"/>
          <w:sz w:val="32"/>
          <w:szCs w:val="32"/>
          <w:lang w:val="en-US" w:eastAsia="zh-CN"/>
        </w:rPr>
        <w:t>在对辖区内耕地周边涉镉污染源</w:t>
      </w:r>
      <w:r>
        <w:rPr>
          <w:rFonts w:hint="eastAsia" w:ascii="仿宋_GB2312" w:hAnsi="仿宋_GB2312" w:eastAsia="仿宋_GB2312" w:cs="仿宋_GB2312"/>
          <w:sz w:val="32"/>
          <w:szCs w:val="32"/>
          <w:lang w:eastAsia="zh-CN"/>
        </w:rPr>
        <w:t>的两个</w:t>
      </w:r>
      <w:r>
        <w:rPr>
          <w:rFonts w:hint="eastAsia" w:ascii="仿宋_GB2312" w:hAnsi="仿宋_GB2312" w:eastAsia="仿宋_GB2312" w:cs="仿宋_GB2312"/>
          <w:sz w:val="32"/>
          <w:szCs w:val="32"/>
          <w:lang w:val="en-US" w:eastAsia="zh-CN"/>
        </w:rPr>
        <w:t>企业开展涉镉污染源排查中，排查了企业配套环保设施工作情况，做到了达标排放，未发现企业环境风险</w:t>
      </w:r>
      <w:r>
        <w:rPr>
          <w:rFonts w:hint="eastAsia" w:ascii="仿宋_GB2312" w:hAnsi="仿宋_GB2312" w:eastAsia="仿宋_GB2312" w:cs="仿宋_GB2312"/>
          <w:sz w:val="32"/>
          <w:szCs w:val="32"/>
          <w:lang w:eastAsia="zh-CN"/>
        </w:rPr>
        <w:t>问题；</w:t>
      </w:r>
      <w:r>
        <w:rPr>
          <w:rFonts w:hint="eastAsia" w:ascii="仿宋_GB2312" w:hAnsi="仿宋_GB2312" w:eastAsia="仿宋_GB2312" w:cs="仿宋_GB2312"/>
          <w:sz w:val="32"/>
          <w:szCs w:val="32"/>
          <w:lang w:val="en-US" w:eastAsia="zh-CN"/>
        </w:rPr>
        <w:t>在开展两个疑似污染地块土壤污染状况调查工作</w:t>
      </w:r>
      <w:r>
        <w:rPr>
          <w:rFonts w:hint="eastAsia" w:ascii="仿宋_GB2312" w:hAnsi="仿宋_GB2312" w:eastAsia="仿宋_GB2312" w:cs="仿宋_GB2312"/>
          <w:sz w:val="32"/>
          <w:szCs w:val="32"/>
          <w:lang w:eastAsia="zh-CN"/>
        </w:rPr>
        <w:t>中</w:t>
      </w:r>
      <w:r>
        <w:rPr>
          <w:rFonts w:hint="eastAsia" w:ascii="仿宋_GB2312" w:hAnsi="仿宋_GB2312" w:eastAsia="仿宋_GB2312" w:cs="仿宋_GB2312"/>
          <w:sz w:val="32"/>
          <w:szCs w:val="32"/>
          <w:lang w:val="en-US" w:eastAsia="zh-CN"/>
        </w:rPr>
        <w:t>，经三方检测机构调查，未发现环境风险。</w:t>
      </w:r>
    </w:p>
    <w:bookmarkEnd w:id="10"/>
    <w:p w14:paraId="7EB04DE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bCs/>
          <w:kern w:val="0"/>
          <w:sz w:val="32"/>
          <w:szCs w:val="32"/>
          <w:lang w:val="en-US" w:eastAsia="zh-CN" w:bidi="ar-SA"/>
        </w:rPr>
      </w:pPr>
      <w:r>
        <w:rPr>
          <w:rFonts w:hint="eastAsia" w:ascii="楷体_GB2312" w:hAnsi="楷体_GB2312" w:eastAsia="楷体_GB2312" w:cs="楷体_GB2312"/>
          <w:b w:val="0"/>
          <w:bCs w:val="0"/>
          <w:kern w:val="0"/>
          <w:sz w:val="32"/>
          <w:szCs w:val="32"/>
          <w:lang w:val="en-US" w:eastAsia="zh-CN" w:bidi="ar-SA"/>
        </w:rPr>
        <w:t>（二）生态环境执法工作情况</w:t>
      </w:r>
    </w:p>
    <w:p w14:paraId="54A243FD">
      <w:pPr>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0"/>
          <w:sz w:val="32"/>
          <w:szCs w:val="32"/>
          <w:lang w:val="en-US" w:eastAsia="zh-CN" w:bidi="ar-SA"/>
        </w:rPr>
        <w:t>一是</w:t>
      </w:r>
      <w:r>
        <w:rPr>
          <w:rFonts w:hint="eastAsia" w:ascii="仿宋_GB2312" w:hAnsi="仿宋_GB2312" w:eastAsia="仿宋_GB2312" w:cs="仿宋_GB2312"/>
          <w:kern w:val="0"/>
          <w:sz w:val="32"/>
          <w:szCs w:val="32"/>
          <w:lang w:val="en-US" w:eastAsia="zh-CN" w:bidi="ar-SA"/>
        </w:rPr>
        <w:t>开展日常环境执法监管。</w:t>
      </w:r>
      <w:r>
        <w:rPr>
          <w:rFonts w:hint="eastAsia" w:ascii="仿宋_GB2312" w:hAnsi="仿宋_GB2312" w:eastAsia="仿宋_GB2312" w:cs="仿宋_GB2312"/>
          <w:sz w:val="32"/>
          <w:szCs w:val="32"/>
        </w:rPr>
        <w:t>今年来，分局依托双随机执法抽查与联合地毯式排查等执法形式，将日常监管与专项整治排查有机结合，有力落实了省、市相关文件精神。</w:t>
      </w:r>
      <w:r>
        <w:rPr>
          <w:rFonts w:hint="eastAsia" w:ascii="仿宋_GB2312" w:hAnsi="仿宋_GB2312" w:eastAsia="仿宋_GB2312" w:cs="仿宋_GB2312"/>
          <w:sz w:val="32"/>
          <w:szCs w:val="32"/>
          <w:lang w:eastAsia="zh-CN"/>
        </w:rPr>
        <w:t>共</w:t>
      </w:r>
      <w:r>
        <w:rPr>
          <w:rFonts w:hint="eastAsia" w:ascii="仿宋_GB2312" w:hAnsi="仿宋_GB2312" w:eastAsia="仿宋_GB2312" w:cs="仿宋_GB2312"/>
          <w:sz w:val="32"/>
          <w:szCs w:val="32"/>
        </w:rPr>
        <w:t>完善填报排污登记表50份、环境影响登记表2份。</w:t>
      </w:r>
      <w:r>
        <w:rPr>
          <w:rFonts w:hint="eastAsia" w:ascii="仿宋_GB2312" w:hAnsi="仿宋_GB2312" w:eastAsia="仿宋_GB2312" w:cs="仿宋_GB2312"/>
          <w:b w:val="0"/>
          <w:bCs w:val="0"/>
          <w:sz w:val="32"/>
          <w:szCs w:val="32"/>
          <w:lang w:val="en-US" w:eastAsia="zh-CN"/>
        </w:rPr>
        <w:t>2025年共立案7起，下达《行政处罚决定书》5份和《不予行政处罚决定书》1份，罚款18万余元，没收违法所得1650元，免罚金额11.3万元，惩戒效果明显。继续推行执法指导帮扶，践行“首违不罚”，让执法既有力度，也有“温度”。</w:t>
      </w:r>
      <w:r>
        <w:rPr>
          <w:rFonts w:hint="eastAsia" w:ascii="仿宋_GB2312" w:hAnsi="仿宋_GB2312" w:eastAsia="仿宋_GB2312" w:cs="仿宋_GB2312"/>
          <w:sz w:val="32"/>
          <w:szCs w:val="32"/>
        </w:rPr>
        <w:t>通过对辖区内畜禽养殖行业的全面摸底，为精准施策，定点执法打下了坚实的基础，今年以来相关投诉举报数量明显下降，有效促进辖区内畜禽养殖业健康发展。</w:t>
      </w:r>
      <w:r>
        <w:rPr>
          <w:rFonts w:hint="eastAsia" w:ascii="仿宋_GB2312" w:hAnsi="仿宋_GB2312" w:eastAsia="仿宋_GB2312" w:cs="仿宋_GB2312"/>
          <w:b/>
          <w:bCs/>
          <w:kern w:val="0"/>
          <w:sz w:val="32"/>
          <w:szCs w:val="32"/>
          <w:lang w:val="en-US" w:eastAsia="zh-CN" w:bidi="ar-SA"/>
        </w:rPr>
        <w:t>二是</w:t>
      </w:r>
      <w:r>
        <w:rPr>
          <w:rFonts w:hint="eastAsia" w:ascii="仿宋_GB2312" w:hAnsi="仿宋_GB2312" w:eastAsia="仿宋_GB2312" w:cs="仿宋_GB2312"/>
          <w:kern w:val="0"/>
          <w:sz w:val="32"/>
          <w:szCs w:val="32"/>
          <w:lang w:val="en-US" w:eastAsia="zh-CN" w:bidi="ar-SA"/>
        </w:rPr>
        <w:t>配合开展环保督察工作。</w:t>
      </w:r>
      <w:r>
        <w:rPr>
          <w:rFonts w:hint="eastAsia" w:ascii="仿宋_GB2312" w:hAnsi="仿宋_GB2312" w:eastAsia="仿宋_GB2312" w:cs="仿宋_GB2312"/>
          <w:sz w:val="32"/>
          <w:szCs w:val="32"/>
        </w:rPr>
        <w:t>我区共有8个中央生态环境保护督察反馈问题、长江经济带生态环境警示片披露问题年度整改任务，目前均已完成区级销号工作。</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highlight w:val="none"/>
        </w:rPr>
        <w:t>生态环境损害赔偿开展情况。</w:t>
      </w:r>
      <w:r>
        <w:rPr>
          <w:rFonts w:hint="eastAsia" w:ascii="仿宋_GB2312" w:hAnsi="仿宋_GB2312" w:eastAsia="仿宋_GB2312" w:cs="仿宋_GB2312"/>
          <w:sz w:val="32"/>
          <w:szCs w:val="32"/>
          <w:highlight w:val="none"/>
          <w:lang w:val="en-US" w:eastAsia="zh-CN"/>
        </w:rPr>
        <w:t>2025年</w:t>
      </w:r>
      <w:r>
        <w:rPr>
          <w:rFonts w:hint="eastAsia" w:ascii="仿宋_GB2312" w:hAnsi="仿宋_GB2312" w:eastAsia="仿宋_GB2312" w:cs="仿宋_GB2312"/>
          <w:sz w:val="32"/>
          <w:szCs w:val="32"/>
          <w:highlight w:val="none"/>
        </w:rPr>
        <w:t>启动生态环境损害赔偿案3件，办结3件，结案率100%。</w:t>
      </w:r>
      <w:r>
        <w:rPr>
          <w:rFonts w:hint="eastAsia" w:ascii="仿宋_GB2312" w:hAnsi="仿宋_GB2312" w:eastAsia="仿宋_GB2312" w:cs="仿宋_GB2312"/>
          <w:b w:val="0"/>
          <w:bCs w:val="0"/>
          <w:sz w:val="32"/>
          <w:szCs w:val="32"/>
          <w:lang w:val="en-US" w:eastAsia="zh-CN"/>
        </w:rPr>
        <w:t>四是</w:t>
      </w:r>
      <w:r>
        <w:rPr>
          <w:rFonts w:hint="eastAsia" w:ascii="仿宋_GB2312" w:hAnsi="仿宋_GB2312" w:eastAsia="仿宋_GB2312" w:cs="仿宋_GB2312"/>
          <w:sz w:val="32"/>
          <w:szCs w:val="32"/>
          <w:lang w:val="en-US" w:eastAsia="zh-CN"/>
        </w:rPr>
        <w:t>开展突发环境事件应急演练。督促企业落实主体责任，修订突发环境事件应急预案、完善应急措施和物资准备，组织开展突发环境事件应急演练。</w:t>
      </w:r>
    </w:p>
    <w:p w14:paraId="57032000">
      <w:pPr>
        <w:pStyle w:val="2"/>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kern w:val="0"/>
          <w:sz w:val="32"/>
          <w:szCs w:val="32"/>
          <w:lang w:val="en-US" w:eastAsia="zh-CN" w:bidi="ar-SA"/>
        </w:rPr>
      </w:pPr>
      <w:r>
        <w:rPr>
          <w:rFonts w:hint="eastAsia" w:ascii="楷体_GB2312" w:hAnsi="楷体_GB2312" w:eastAsia="楷体_GB2312" w:cs="楷体_GB2312"/>
          <w:b w:val="0"/>
          <w:bCs w:val="0"/>
          <w:kern w:val="0"/>
          <w:sz w:val="32"/>
          <w:szCs w:val="32"/>
          <w:lang w:val="en-US" w:eastAsia="zh-CN" w:bidi="ar-SA"/>
        </w:rPr>
        <w:t>（三）党风廉政建设情况</w:t>
      </w:r>
    </w:p>
    <w:p w14:paraId="172C2F24">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扎实开展党建日常工作。</w:t>
      </w:r>
      <w:r>
        <w:rPr>
          <w:rFonts w:hint="eastAsia" w:ascii="仿宋_GB2312" w:hAnsi="仿宋_GB2312" w:eastAsia="仿宋_GB2312" w:cs="仿宋_GB2312"/>
          <w:sz w:val="32"/>
          <w:szCs w:val="32"/>
        </w:rPr>
        <w:t>认真落实“三会一课”及主题党日活动，今年召开全体党员会议1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次，支委会</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次，组织召开民主生活会1次，党支部书记讲党课2次，开展主题党日活动1次。</w:t>
      </w:r>
    </w:p>
    <w:p w14:paraId="22B6F1F8">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继续开展“群腐”整治工作。</w:t>
      </w:r>
      <w:r>
        <w:rPr>
          <w:rFonts w:hint="eastAsia" w:ascii="仿宋_GB2312" w:hAnsi="仿宋_GB2312" w:eastAsia="仿宋_GB2312" w:cs="仿宋_GB2312"/>
          <w:sz w:val="32"/>
          <w:szCs w:val="32"/>
        </w:rPr>
        <w:t>我局共计组织</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次会议专题推进群腐工作，积极开展环保“一刀切”整治行动、农村饮用水水源地突出环境问题集中排查整治、自查环评弄虚作假问题，对2023年4月</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2025年6月的环评文本进行自查，督促三方环评机构完成10个文本共计23个问题修改。</w:t>
      </w:r>
    </w:p>
    <w:p w14:paraId="23D7516F">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3</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深入学习贯彻中央八项规定及其实施细则精神。</w:t>
      </w:r>
      <w:r>
        <w:rPr>
          <w:rFonts w:hint="eastAsia" w:ascii="仿宋_GB2312" w:hAnsi="仿宋_GB2312" w:eastAsia="仿宋_GB2312" w:cs="仿宋_GB2312"/>
          <w:sz w:val="32"/>
          <w:szCs w:val="32"/>
        </w:rPr>
        <w:t>通过“三会一课”、主题党日活动等形式，深入学习中央八项规定及其实施细则精神、习近平关于落实中央八项规定重要指示精神。开展分局党支部相关问题查摆会议，对发现存在的问题及时解决，定期更新问题清单，把整改过程中形成好的经验记录变成提高服务群众的实际助力。</w:t>
      </w:r>
    </w:p>
    <w:p w14:paraId="64937EAC">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抓紧抓实违规吃喝整治工作。</w:t>
      </w:r>
      <w:r>
        <w:rPr>
          <w:rFonts w:hint="eastAsia" w:ascii="仿宋_GB2312" w:hAnsi="仿宋_GB2312" w:eastAsia="仿宋_GB2312" w:cs="仿宋_GB2312"/>
          <w:sz w:val="32"/>
          <w:szCs w:val="32"/>
        </w:rPr>
        <w:t>认真开展违规吃喝专项整治工作；通过违规吃喝警示案例教育，进一步加深班子成员对违规吃喝的政治危害；从“相互吃”“吃公函”“吃食堂”“吃老板”“吃下级”“一桌餐”以及其他等七个方面对标自查，形成清单，逐项整改，共查摆2个风险隐患点，并按计划强化整改。</w:t>
      </w:r>
    </w:p>
    <w:p w14:paraId="67D2886A">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5、做好驻点监督问题同类同改。</w:t>
      </w:r>
      <w:r>
        <w:rPr>
          <w:rFonts w:hint="eastAsia" w:ascii="仿宋_GB2312" w:hAnsi="仿宋_GB2312" w:eastAsia="仿宋_GB2312" w:cs="仿宋_GB2312"/>
          <w:sz w:val="32"/>
          <w:szCs w:val="32"/>
          <w:lang w:val="en-US" w:eastAsia="zh-CN"/>
        </w:rPr>
        <w:t>坚决扛牢管党治党政治责任，针对驻局纪检组对全市系统6个县市分局开展驻点监督发现的101个问题，结合屈原分局实际情况，开展自查自纠、同类同改，对反馈问题逐项分析，举一反三，全面核查，做到主动认领、全面对照、深挖根源。经查摆，发现在党建纪检、依法行政、财务管理等三个方面问题7个，研究并制定整改方案，严格对标对表，逐条逐项压实责任、细化措施，确保整改任务“条条要整改、件件有着落、事事见成效”，形成长效管理。</w:t>
      </w:r>
    </w:p>
    <w:p w14:paraId="4081AE1B">
      <w:pPr>
        <w:pStyle w:val="13"/>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eastAsia" w:ascii="黑体" w:hAnsi="黑体" w:eastAsia="黑体" w:cs="黑体"/>
          <w:sz w:val="32"/>
          <w:szCs w:val="32"/>
          <w:highlight w:val="none"/>
        </w:rPr>
        <w:t>七、存在的问题及原因分析</w:t>
      </w:r>
    </w:p>
    <w:p w14:paraId="0F4B00E6">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lang w:val="en-US" w:eastAsia="zh-CN"/>
        </w:rPr>
        <w:t>、执法能力仍有不足</w:t>
      </w:r>
      <w:r>
        <w:rPr>
          <w:rFonts w:hint="eastAsia" w:ascii="仿宋_GB2312" w:hAnsi="仿宋_GB2312" w:eastAsia="仿宋_GB2312" w:cs="仿宋_GB2312"/>
          <w:b w:val="0"/>
          <w:bCs w:val="0"/>
          <w:sz w:val="32"/>
          <w:szCs w:val="32"/>
        </w:rPr>
        <w:t>。分局</w:t>
      </w:r>
      <w:r>
        <w:rPr>
          <w:rFonts w:hint="eastAsia" w:ascii="仿宋_GB2312" w:hAnsi="仿宋_GB2312" w:eastAsia="仿宋_GB2312" w:cs="仿宋_GB2312"/>
          <w:b w:val="0"/>
          <w:bCs w:val="0"/>
          <w:sz w:val="32"/>
          <w:szCs w:val="32"/>
          <w:lang w:val="en-US" w:eastAsia="zh-CN"/>
        </w:rPr>
        <w:t>目前仍未</w:t>
      </w:r>
      <w:r>
        <w:rPr>
          <w:rFonts w:hint="eastAsia" w:ascii="仿宋_GB2312" w:hAnsi="仿宋_GB2312" w:eastAsia="仿宋_GB2312" w:cs="仿宋_GB2312"/>
          <w:b w:val="0"/>
          <w:bCs w:val="0"/>
          <w:sz w:val="32"/>
          <w:szCs w:val="32"/>
        </w:rPr>
        <w:t>配备公务用车和执法用车，也没有执法用车经费预算安排，需要通过在有限的工作经费中调剂部分费用租车来解决执法用车需求，在今年工作经费减半的情况下，车辆方面的困难尤为明显。</w:t>
      </w:r>
      <w:r>
        <w:rPr>
          <w:rFonts w:hint="eastAsia" w:ascii="仿宋_GB2312" w:hAnsi="仿宋_GB2312" w:eastAsia="仿宋_GB2312" w:cs="仿宋_GB2312"/>
          <w:b w:val="0"/>
          <w:bCs w:val="0"/>
          <w:sz w:val="32"/>
          <w:szCs w:val="32"/>
          <w:lang w:val="en-US" w:eastAsia="zh-CN"/>
        </w:rPr>
        <w:t>同时开展执法监测又无内设环境监测机构，保障执法时效性有限，仍需外委监测，存在短板。</w:t>
      </w:r>
    </w:p>
    <w:p w14:paraId="799533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环境风险仍存在。农村环境问题呈现加重的趋势，过量使用化肥、农药、农膜等导致农村面源污染加重；秸秆禁烧工作由于秸秆综合利用推进不足，仍有部分群众“图省事”，不支持、不理解秸秆禁烧要求；畜禽养殖污染问题突出，治理难度加大。</w:t>
      </w:r>
    </w:p>
    <w:p w14:paraId="07B8040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z w:val="32"/>
          <w:szCs w:val="32"/>
        </w:rPr>
      </w:pPr>
    </w:p>
    <w:p w14:paraId="745CD734">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下一步改进措施</w:t>
      </w:r>
      <w:r>
        <w:rPr>
          <w:rFonts w:hint="eastAsia" w:ascii="黑体" w:hAnsi="黑体" w:eastAsia="黑体" w:cs="黑体"/>
          <w:sz w:val="32"/>
          <w:szCs w:val="32"/>
          <w:highlight w:val="none"/>
          <w:lang w:val="en-US" w:eastAsia="zh-CN"/>
        </w:rPr>
        <w:t xml:space="preserve">  </w:t>
      </w:r>
    </w:p>
    <w:p w14:paraId="43D4F54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sz w:val="32"/>
          <w:szCs w:val="32"/>
          <w:lang w:eastAsia="zh-CN"/>
        </w:rPr>
      </w:pP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lang w:val="en-US" w:eastAsia="zh-CN"/>
        </w:rPr>
        <w:t>一）、强化预算编制精细化管理</w:t>
      </w:r>
      <w:r>
        <w:rPr>
          <w:rFonts w:hint="eastAsia" w:ascii="方正仿宋_GB2312" w:hAnsi="方正仿宋_GB2312" w:eastAsia="方正仿宋_GB2312" w:cs="方正仿宋_GB2312"/>
          <w:b/>
          <w:bCs/>
          <w:sz w:val="32"/>
          <w:szCs w:val="32"/>
        </w:rPr>
        <w:t>。</w:t>
      </w:r>
      <w:r>
        <w:rPr>
          <w:rFonts w:hint="eastAsia" w:ascii="仿宋_GB2312" w:hAnsi="仿宋_GB2312" w:eastAsia="仿宋_GB2312" w:cs="仿宋_GB2312"/>
          <w:b w:val="0"/>
          <w:bCs w:val="0"/>
          <w:sz w:val="32"/>
          <w:szCs w:val="32"/>
          <w:lang w:eastAsia="zh-CN"/>
        </w:rPr>
        <w:t>提前谋划下一年度工作任务，深入调研项目需求，结合历年预算执行情况，科学编制项目预算，提高预算编制的前瞻性、准确性；加强预算执行动态监控，合理把控支出进度，确保预算均衡执行。</w:t>
      </w:r>
    </w:p>
    <w:p w14:paraId="58C18B4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sz w:val="32"/>
          <w:szCs w:val="32"/>
          <w:lang w:eastAsia="zh-CN"/>
        </w:rPr>
      </w:pP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lang w:val="en-US" w:eastAsia="zh-CN"/>
        </w:rPr>
        <w:t>二）、</w:t>
      </w:r>
      <w:r>
        <w:rPr>
          <w:rFonts w:hint="eastAsia" w:ascii="方正仿宋_GB2312" w:hAnsi="方正仿宋_GB2312" w:eastAsia="方正仿宋_GB2312" w:cs="方正仿宋_GB2312"/>
          <w:b/>
          <w:bCs/>
          <w:sz w:val="32"/>
          <w:szCs w:val="32"/>
          <w:lang w:eastAsia="zh-CN"/>
        </w:rPr>
        <w:t>积极拓宽资金筹措渠道。</w:t>
      </w:r>
      <w:r>
        <w:rPr>
          <w:rFonts w:hint="eastAsia" w:ascii="仿宋_GB2312" w:hAnsi="仿宋_GB2312" w:eastAsia="仿宋_GB2312" w:cs="仿宋_GB2312"/>
          <w:b w:val="0"/>
          <w:bCs w:val="0"/>
          <w:sz w:val="32"/>
          <w:szCs w:val="32"/>
          <w:lang w:eastAsia="zh-CN"/>
        </w:rPr>
        <w:t>主动对接上级生态环境部门，积极争取中央、省级环保专项资金支持；探索建立多元化生态环保资金投入机制，引导社会资本参与生态环境保护和治理，缓解区级财政资金压力 。</w:t>
      </w:r>
    </w:p>
    <w:p w14:paraId="2AC1FA5A">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lang w:val="en-US" w:eastAsia="zh-CN"/>
        </w:rPr>
        <w:t>三</w:t>
      </w:r>
      <w:r>
        <w:rPr>
          <w:rFonts w:hint="eastAsia" w:ascii="方正仿宋_GB2312" w:hAnsi="方正仿宋_GB2312" w:eastAsia="方正仿宋_GB2312" w:cs="方正仿宋_GB2312"/>
          <w:b/>
          <w:bCs/>
          <w:sz w:val="32"/>
          <w:szCs w:val="32"/>
          <w:lang w:eastAsia="zh-CN"/>
        </w:rPr>
        <w:t>）加强基层环保能力建设。</w:t>
      </w:r>
      <w:r>
        <w:rPr>
          <w:rFonts w:hint="eastAsia" w:ascii="仿宋_GB2312" w:hAnsi="仿宋_GB2312" w:eastAsia="仿宋_GB2312" w:cs="仿宋_GB2312"/>
          <w:b w:val="0"/>
          <w:bCs w:val="0"/>
          <w:sz w:val="32"/>
          <w:szCs w:val="32"/>
          <w:lang w:eastAsia="zh-CN"/>
        </w:rPr>
        <w:t>制定常态化培训计划，定期组织执法、监测人员开展专业技能培训，提升业务能力；推进生态环境信息化建设，搭建智慧监管平台，实现环境监测、执法监管、风险预警智能化管理，全面提升基层生态环境治理能力 。</w:t>
      </w:r>
    </w:p>
    <w:p w14:paraId="36961DA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九、</w:t>
      </w:r>
      <w:r>
        <w:rPr>
          <w:rFonts w:hint="eastAsia" w:ascii="黑体" w:hAnsi="黑体" w:eastAsia="黑体" w:cs="黑体"/>
          <w:sz w:val="32"/>
          <w:szCs w:val="32"/>
          <w:highlight w:val="none"/>
          <w:lang w:eastAsia="zh-CN"/>
        </w:rPr>
        <w:t>单位</w:t>
      </w:r>
      <w:r>
        <w:rPr>
          <w:rFonts w:hint="eastAsia" w:ascii="黑体" w:hAnsi="黑体" w:eastAsia="黑体" w:cs="黑体"/>
          <w:sz w:val="32"/>
          <w:szCs w:val="32"/>
          <w:highlight w:val="none"/>
        </w:rPr>
        <w:t>整体支出绩效自评结果拟应用和公开情况</w:t>
      </w:r>
    </w:p>
    <w:p w14:paraId="5161AC93">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lang w:eastAsia="zh-CN"/>
        </w:rPr>
        <w:t>绩效自评结果为</w:t>
      </w:r>
      <w:r>
        <w:rPr>
          <w:rFonts w:hint="eastAsia" w:ascii="仿宋_GB2312" w:hAnsi="仿宋_GB2312" w:eastAsia="仿宋_GB2312" w:cs="仿宋_GB2312"/>
          <w:sz w:val="32"/>
          <w:szCs w:val="32"/>
          <w:lang w:val="en-US" w:eastAsia="zh-CN"/>
        </w:rPr>
        <w:t>优秀</w:t>
      </w:r>
      <w:r>
        <w:rPr>
          <w:rFonts w:hint="eastAsia" w:ascii="仿宋_GB2312" w:hAnsi="仿宋_GB2312" w:eastAsia="仿宋_GB2312" w:cs="仿宋_GB2312"/>
          <w:sz w:val="32"/>
          <w:szCs w:val="32"/>
          <w:lang w:eastAsia="zh-CN"/>
        </w:rPr>
        <w:t>等级。下一步将根据财政检查绩效自评发现的问题等进行改善，并按政务公开的相关规定，及时将部门整体支出及项目绩效自评报告，通过门户网站向社会公开。</w:t>
      </w:r>
    </w:p>
    <w:p w14:paraId="2B8679D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黑体" w:hAnsi="黑体" w:eastAsia="黑体" w:cs="黑体"/>
          <w:sz w:val="32"/>
          <w:szCs w:val="32"/>
          <w:highlight w:val="none"/>
          <w:lang w:eastAsia="zh-CN"/>
        </w:rPr>
        <w:t>十、</w:t>
      </w:r>
      <w:r>
        <w:rPr>
          <w:rFonts w:hint="eastAsia" w:ascii="黑体" w:hAnsi="黑体" w:eastAsia="黑体" w:cs="黑体"/>
          <w:sz w:val="32"/>
          <w:szCs w:val="32"/>
          <w:highlight w:val="none"/>
        </w:rPr>
        <w:t>其他需要说明的情况</w:t>
      </w:r>
    </w:p>
    <w:p w14:paraId="5F934473">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14:paraId="1F6D96E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p>
    <w:p w14:paraId="53A609A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报告需要以下附件：</w:t>
      </w:r>
    </w:p>
    <w:p w14:paraId="2456D79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部门整体支出绩效评价基础数据表</w:t>
      </w:r>
    </w:p>
    <w:p w14:paraId="7C8B57D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部门整体支出绩效自评表</w:t>
      </w:r>
    </w:p>
    <w:p w14:paraId="716FAB9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项目支出绩效自评表（一个一级项目支出一张表）</w:t>
      </w:r>
    </w:p>
    <w:p w14:paraId="3449B90B">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B02F0C7-AA2D-459E-9864-A27FF59E9AC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2CD71304-8A11-4E92-8A48-2F6B70E724D2}"/>
  </w:font>
  <w:font w:name="楷体_GB2312">
    <w:altName w:val="楷体"/>
    <w:panose1 w:val="02010609030101010101"/>
    <w:charset w:val="86"/>
    <w:family w:val="modern"/>
    <w:pitch w:val="default"/>
    <w:sig w:usb0="00000000" w:usb1="00000000" w:usb2="00000000" w:usb3="00000000" w:csb0="00040000" w:csb1="00000000"/>
    <w:embedRegular r:id="rId3" w:fontKey="{B4A8D7F7-0729-446E-8D1E-6CF4AE9194B6}"/>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embedRegular r:id="rId4" w:fontKey="{68BCCF73-491C-436E-9A61-954195768B36}"/>
  </w:font>
  <w:font w:name="仿宋_GB2312">
    <w:altName w:val="仿宋"/>
    <w:panose1 w:val="02010609030101010101"/>
    <w:charset w:val="86"/>
    <w:family w:val="modern"/>
    <w:pitch w:val="default"/>
    <w:sig w:usb0="00000000" w:usb1="00000000" w:usb2="00000000" w:usb3="00000000" w:csb0="00040000" w:csb1="00000000"/>
    <w:embedRegular r:id="rId5" w:fontKey="{4F255D2F-EDBE-48AE-A6E1-6D295FEC8A89}"/>
  </w:font>
  <w:font w:name="方正小标宋_GBK">
    <w:altName w:val="微软雅黑"/>
    <w:panose1 w:val="03000509000000000000"/>
    <w:charset w:val="86"/>
    <w:family w:val="script"/>
    <w:pitch w:val="default"/>
    <w:sig w:usb0="00000000" w:usb1="00000000" w:usb2="00000000" w:usb3="00000000" w:csb0="00040000" w:csb1="00000000"/>
    <w:embedRegular r:id="rId6" w:fontKey="{2BDAF863-6F9D-42A1-ADB1-27B69A7A4136}"/>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7" w:fontKey="{AB7F2A4E-F497-4EE2-8F71-77183442287C}"/>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6D5912"/>
    <w:multiLevelType w:val="singleLevel"/>
    <w:tmpl w:val="0D6D5912"/>
    <w:lvl w:ilvl="0" w:tentative="0">
      <w:start w:val="1"/>
      <w:numFmt w:val="chineseCounting"/>
      <w:suff w:val="nothing"/>
      <w:lvlText w:val="%1、"/>
      <w:lvlJc w:val="left"/>
      <w:rPr>
        <w:rFonts w:hint="eastAsia"/>
      </w:rPr>
    </w:lvl>
  </w:abstractNum>
  <w:abstractNum w:abstractNumId="1">
    <w:nsid w:val="4C47CF32"/>
    <w:multiLevelType w:val="singleLevel"/>
    <w:tmpl w:val="4C47CF32"/>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0ZTUxZDRkNzI1MzAwYWFiNDA2YjgwZTdkMWZlNGUifQ=="/>
  </w:docVars>
  <w:rsids>
    <w:rsidRoot w:val="59886344"/>
    <w:rsid w:val="01A63CD7"/>
    <w:rsid w:val="02740C23"/>
    <w:rsid w:val="03380674"/>
    <w:rsid w:val="03D61236"/>
    <w:rsid w:val="04207E21"/>
    <w:rsid w:val="044779E7"/>
    <w:rsid w:val="04665F1D"/>
    <w:rsid w:val="048115F1"/>
    <w:rsid w:val="04CB2C07"/>
    <w:rsid w:val="050424C6"/>
    <w:rsid w:val="05412745"/>
    <w:rsid w:val="058C7E64"/>
    <w:rsid w:val="058F1A07"/>
    <w:rsid w:val="05FD2B10"/>
    <w:rsid w:val="08C416C3"/>
    <w:rsid w:val="08CE609D"/>
    <w:rsid w:val="0A2C48FB"/>
    <w:rsid w:val="0A3665F0"/>
    <w:rsid w:val="0A3A5A49"/>
    <w:rsid w:val="0A8E0CF2"/>
    <w:rsid w:val="0AC8263F"/>
    <w:rsid w:val="0BCF6593"/>
    <w:rsid w:val="0C844E03"/>
    <w:rsid w:val="0CE01F46"/>
    <w:rsid w:val="0D9D24E2"/>
    <w:rsid w:val="0E6D2AA6"/>
    <w:rsid w:val="0EA578A0"/>
    <w:rsid w:val="0FCE32B3"/>
    <w:rsid w:val="0FEE3CC4"/>
    <w:rsid w:val="0FFE195E"/>
    <w:rsid w:val="10282A91"/>
    <w:rsid w:val="10A87B61"/>
    <w:rsid w:val="113A4C18"/>
    <w:rsid w:val="11496C09"/>
    <w:rsid w:val="11C0213A"/>
    <w:rsid w:val="11F748B7"/>
    <w:rsid w:val="127C4DBC"/>
    <w:rsid w:val="137F2DB6"/>
    <w:rsid w:val="141D4ADC"/>
    <w:rsid w:val="15C56A7A"/>
    <w:rsid w:val="15D74EDE"/>
    <w:rsid w:val="16D064A5"/>
    <w:rsid w:val="16FF2141"/>
    <w:rsid w:val="171D3C98"/>
    <w:rsid w:val="17B61287"/>
    <w:rsid w:val="17E01CEC"/>
    <w:rsid w:val="17FF54B8"/>
    <w:rsid w:val="185D40D7"/>
    <w:rsid w:val="18B23140"/>
    <w:rsid w:val="18C732E0"/>
    <w:rsid w:val="191F5F30"/>
    <w:rsid w:val="1A846CC1"/>
    <w:rsid w:val="1AAB623F"/>
    <w:rsid w:val="1AF62AC5"/>
    <w:rsid w:val="1C161A62"/>
    <w:rsid w:val="1E7F253B"/>
    <w:rsid w:val="1EA00084"/>
    <w:rsid w:val="1ED96131"/>
    <w:rsid w:val="1F1F4789"/>
    <w:rsid w:val="1F503858"/>
    <w:rsid w:val="1F6A2B6C"/>
    <w:rsid w:val="20566C4C"/>
    <w:rsid w:val="212E3725"/>
    <w:rsid w:val="21884F0C"/>
    <w:rsid w:val="219429D4"/>
    <w:rsid w:val="238C4C0D"/>
    <w:rsid w:val="23B66BD2"/>
    <w:rsid w:val="25D33553"/>
    <w:rsid w:val="25DD15C5"/>
    <w:rsid w:val="26676CA3"/>
    <w:rsid w:val="269229A8"/>
    <w:rsid w:val="27796F26"/>
    <w:rsid w:val="28B42FD1"/>
    <w:rsid w:val="29171045"/>
    <w:rsid w:val="2A0E53D4"/>
    <w:rsid w:val="2A1536D4"/>
    <w:rsid w:val="2A222295"/>
    <w:rsid w:val="2BCC5554"/>
    <w:rsid w:val="2BD475A2"/>
    <w:rsid w:val="2D1A7254"/>
    <w:rsid w:val="2E1E53E3"/>
    <w:rsid w:val="2EA064A0"/>
    <w:rsid w:val="2FCE2CA3"/>
    <w:rsid w:val="2FE73901"/>
    <w:rsid w:val="307028E6"/>
    <w:rsid w:val="30B8300C"/>
    <w:rsid w:val="31183FE8"/>
    <w:rsid w:val="3188594B"/>
    <w:rsid w:val="3229553B"/>
    <w:rsid w:val="32B545C0"/>
    <w:rsid w:val="3380548F"/>
    <w:rsid w:val="33AA7583"/>
    <w:rsid w:val="33C63C91"/>
    <w:rsid w:val="356A56AF"/>
    <w:rsid w:val="357348AE"/>
    <w:rsid w:val="35E12B4D"/>
    <w:rsid w:val="35FA5E74"/>
    <w:rsid w:val="36CF468C"/>
    <w:rsid w:val="37B10062"/>
    <w:rsid w:val="380D6333"/>
    <w:rsid w:val="38657F1D"/>
    <w:rsid w:val="38CE7F0A"/>
    <w:rsid w:val="38D42EAA"/>
    <w:rsid w:val="39211013"/>
    <w:rsid w:val="3925145A"/>
    <w:rsid w:val="393A75ED"/>
    <w:rsid w:val="39404BDD"/>
    <w:rsid w:val="398A3CE5"/>
    <w:rsid w:val="3A604186"/>
    <w:rsid w:val="3B186377"/>
    <w:rsid w:val="3B7346FF"/>
    <w:rsid w:val="3B79050B"/>
    <w:rsid w:val="3BEC625F"/>
    <w:rsid w:val="3D1837B0"/>
    <w:rsid w:val="3D7F6A3A"/>
    <w:rsid w:val="3E081DAF"/>
    <w:rsid w:val="3E3658EB"/>
    <w:rsid w:val="3E4B3711"/>
    <w:rsid w:val="3E542340"/>
    <w:rsid w:val="3F5F315E"/>
    <w:rsid w:val="402B7644"/>
    <w:rsid w:val="406C7CC6"/>
    <w:rsid w:val="41265D6F"/>
    <w:rsid w:val="41C71F06"/>
    <w:rsid w:val="42611755"/>
    <w:rsid w:val="443A6FB3"/>
    <w:rsid w:val="447339C1"/>
    <w:rsid w:val="45344EFF"/>
    <w:rsid w:val="45BE5498"/>
    <w:rsid w:val="469E71A8"/>
    <w:rsid w:val="46DE0B39"/>
    <w:rsid w:val="4714279A"/>
    <w:rsid w:val="474F17A4"/>
    <w:rsid w:val="47C62C3F"/>
    <w:rsid w:val="482707A3"/>
    <w:rsid w:val="490F7633"/>
    <w:rsid w:val="49547006"/>
    <w:rsid w:val="49555444"/>
    <w:rsid w:val="49830203"/>
    <w:rsid w:val="49CA4977"/>
    <w:rsid w:val="49FE6356"/>
    <w:rsid w:val="4A0C3094"/>
    <w:rsid w:val="4A3605A8"/>
    <w:rsid w:val="4AC62A9D"/>
    <w:rsid w:val="4BC468B1"/>
    <w:rsid w:val="4BDD5BE0"/>
    <w:rsid w:val="4C531609"/>
    <w:rsid w:val="4DDF3E76"/>
    <w:rsid w:val="4ECF5C98"/>
    <w:rsid w:val="4EE43655"/>
    <w:rsid w:val="4F0B013B"/>
    <w:rsid w:val="4F846A83"/>
    <w:rsid w:val="4FDB79C1"/>
    <w:rsid w:val="50AA565F"/>
    <w:rsid w:val="515B69A1"/>
    <w:rsid w:val="53AE31BA"/>
    <w:rsid w:val="543245E8"/>
    <w:rsid w:val="547F6D46"/>
    <w:rsid w:val="55432F3C"/>
    <w:rsid w:val="55924C55"/>
    <w:rsid w:val="55A439DB"/>
    <w:rsid w:val="568B06F7"/>
    <w:rsid w:val="56A603BA"/>
    <w:rsid w:val="570A0F13"/>
    <w:rsid w:val="57CE2F91"/>
    <w:rsid w:val="57F329F7"/>
    <w:rsid w:val="58095CBB"/>
    <w:rsid w:val="581037D2"/>
    <w:rsid w:val="585A4825"/>
    <w:rsid w:val="587F16F4"/>
    <w:rsid w:val="5899321A"/>
    <w:rsid w:val="59886344"/>
    <w:rsid w:val="5A0215A1"/>
    <w:rsid w:val="5A6C18A8"/>
    <w:rsid w:val="5AF17033"/>
    <w:rsid w:val="5AFA409D"/>
    <w:rsid w:val="5B1C7423"/>
    <w:rsid w:val="5B531ADB"/>
    <w:rsid w:val="5BA65531"/>
    <w:rsid w:val="5BEA24B6"/>
    <w:rsid w:val="5C0105BA"/>
    <w:rsid w:val="5C514191"/>
    <w:rsid w:val="5C682BEC"/>
    <w:rsid w:val="5D55249C"/>
    <w:rsid w:val="5D6D6A5B"/>
    <w:rsid w:val="5DAF73C1"/>
    <w:rsid w:val="5E260208"/>
    <w:rsid w:val="601C1C75"/>
    <w:rsid w:val="60561D75"/>
    <w:rsid w:val="60B3748A"/>
    <w:rsid w:val="617F70AA"/>
    <w:rsid w:val="61811074"/>
    <w:rsid w:val="61C6117D"/>
    <w:rsid w:val="61E41157"/>
    <w:rsid w:val="624452BB"/>
    <w:rsid w:val="63084806"/>
    <w:rsid w:val="63161C90"/>
    <w:rsid w:val="63796007"/>
    <w:rsid w:val="645227C1"/>
    <w:rsid w:val="64AC28AC"/>
    <w:rsid w:val="661E3722"/>
    <w:rsid w:val="66263ABB"/>
    <w:rsid w:val="672B3A26"/>
    <w:rsid w:val="6751415E"/>
    <w:rsid w:val="679338AF"/>
    <w:rsid w:val="67EE4F89"/>
    <w:rsid w:val="68DA108D"/>
    <w:rsid w:val="699C5B6F"/>
    <w:rsid w:val="6A3F2BCE"/>
    <w:rsid w:val="6AAE4BB9"/>
    <w:rsid w:val="6AE079AE"/>
    <w:rsid w:val="6B2A452A"/>
    <w:rsid w:val="6C2D4049"/>
    <w:rsid w:val="6CAB51F7"/>
    <w:rsid w:val="6DB75915"/>
    <w:rsid w:val="6DBB65C2"/>
    <w:rsid w:val="6E657628"/>
    <w:rsid w:val="6F3922E7"/>
    <w:rsid w:val="6F8F4EC7"/>
    <w:rsid w:val="6FAB550E"/>
    <w:rsid w:val="6FD16FAC"/>
    <w:rsid w:val="70B91115"/>
    <w:rsid w:val="70BB79D3"/>
    <w:rsid w:val="71500A63"/>
    <w:rsid w:val="71FD5E92"/>
    <w:rsid w:val="72071122"/>
    <w:rsid w:val="72C2773E"/>
    <w:rsid w:val="72F74E03"/>
    <w:rsid w:val="73337351"/>
    <w:rsid w:val="734175FF"/>
    <w:rsid w:val="73BA21C4"/>
    <w:rsid w:val="73C309FD"/>
    <w:rsid w:val="74850E15"/>
    <w:rsid w:val="758F7F6D"/>
    <w:rsid w:val="75CE77D5"/>
    <w:rsid w:val="765C119A"/>
    <w:rsid w:val="76B63116"/>
    <w:rsid w:val="787D5D0E"/>
    <w:rsid w:val="78DB3B19"/>
    <w:rsid w:val="791D063B"/>
    <w:rsid w:val="7ABD2CC5"/>
    <w:rsid w:val="7AD324E9"/>
    <w:rsid w:val="7B754E49"/>
    <w:rsid w:val="7D8B2B7A"/>
    <w:rsid w:val="7EFB2CF3"/>
    <w:rsid w:val="7EFC2BD2"/>
    <w:rsid w:val="7F0F7867"/>
    <w:rsid w:val="7F1E3D69"/>
    <w:rsid w:val="7F48099F"/>
    <w:rsid w:val="7F711595"/>
    <w:rsid w:val="7FBB3F4E"/>
    <w:rsid w:val="BDA53C09"/>
    <w:rsid w:val="DFEF884A"/>
    <w:rsid w:val="ECF7E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宋体" w:cs="Times New Roman"/>
      <w:kern w:val="0"/>
      <w:sz w:val="28"/>
      <w:szCs w:val="24"/>
      <w:lang w:val="en-US" w:eastAsia="zh-CN" w:bidi="ar-SA"/>
    </w:rPr>
  </w:style>
  <w:style w:type="paragraph" w:styleId="2">
    <w:name w:val="heading 3"/>
    <w:basedOn w:val="1"/>
    <w:next w:val="1"/>
    <w:semiHidden/>
    <w:unhideWhenUsed/>
    <w:qFormat/>
    <w:uiPriority w:val="0"/>
    <w:pPr>
      <w:keepNext/>
      <w:keepLines/>
      <w:spacing w:line="600" w:lineRule="exact"/>
      <w:outlineLvl w:val="2"/>
    </w:pPr>
    <w:rPr>
      <w:rFonts w:eastAsia="楷体_GB2312"/>
      <w:b/>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200" w:firstLineChars="200"/>
    </w:pPr>
    <w:rPr>
      <w:rFonts w:ascii="Calibri" w:hAnsi="Calibri" w:eastAsia="宋体" w:cs="宋体"/>
      <w:kern w:val="2"/>
      <w:sz w:val="21"/>
      <w:szCs w:val="24"/>
    </w:rPr>
  </w:style>
  <w:style w:type="paragraph" w:styleId="4">
    <w:name w:val="annotation text"/>
    <w:basedOn w:val="1"/>
    <w:qFormat/>
    <w:uiPriority w:val="0"/>
    <w:pPr>
      <w:jc w:val="left"/>
    </w:pPr>
  </w:style>
  <w:style w:type="paragraph" w:styleId="5">
    <w:name w:val="Body Text"/>
    <w:basedOn w:val="1"/>
    <w:next w:val="6"/>
    <w:semiHidden/>
    <w:qFormat/>
    <w:uiPriority w:val="0"/>
    <w:rPr>
      <w:rFonts w:ascii="仿宋" w:hAnsi="仿宋" w:eastAsia="仿宋" w:cs="仿宋"/>
      <w:sz w:val="31"/>
      <w:szCs w:val="31"/>
      <w:lang w:val="en-US" w:eastAsia="en-US" w:bidi="ar-SA"/>
    </w:rPr>
  </w:style>
  <w:style w:type="paragraph" w:styleId="6">
    <w:name w:val="toc 5"/>
    <w:basedOn w:val="1"/>
    <w:next w:val="1"/>
    <w:qFormat/>
    <w:uiPriority w:val="0"/>
    <w:pPr>
      <w:ind w:left="1680" w:leftChars="800"/>
    </w:pPr>
  </w:style>
  <w:style w:type="paragraph" w:styleId="7">
    <w:name w:val="footer"/>
    <w:qFormat/>
    <w:uiPriority w:val="0"/>
    <w:pPr>
      <w:widowControl w:val="0"/>
      <w:tabs>
        <w:tab w:val="center" w:pos="4153"/>
        <w:tab w:val="right" w:pos="8306"/>
      </w:tabs>
      <w:snapToGrid w:val="0"/>
      <w:jc w:val="left"/>
    </w:pPr>
    <w:rPr>
      <w:rFonts w:ascii="仿宋" w:hAnsi="仿宋" w:eastAsia="宋体" w:cs="Times New Roman"/>
      <w:kern w:val="0"/>
      <w:sz w:val="18"/>
      <w:szCs w:val="24"/>
      <w:lang w:val="en-US" w:eastAsia="zh-CN" w:bidi="ar-SA"/>
    </w:rPr>
  </w:style>
  <w:style w:type="paragraph" w:styleId="8">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仿宋" w:hAnsi="仿宋" w:eastAsia="宋体" w:cs="Times New Roman"/>
      <w:kern w:val="0"/>
      <w:sz w:val="18"/>
      <w:szCs w:val="24"/>
      <w:lang w:val="en-US" w:eastAsia="zh-CN" w:bidi="ar-SA"/>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2">
    <w:name w:val="列出段落1"/>
    <w:basedOn w:val="1"/>
    <w:qFormat/>
    <w:uiPriority w:val="34"/>
    <w:pPr>
      <w:ind w:firstLine="420" w:firstLineChars="200"/>
    </w:pPr>
  </w:style>
  <w:style w:type="paragraph" w:styleId="13">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6644</Words>
  <Characters>7252</Characters>
  <Lines>0</Lines>
  <Paragraphs>0</Paragraphs>
  <TotalTime>31</TotalTime>
  <ScaleCrop>false</ScaleCrop>
  <LinksUpToDate>false</LinksUpToDate>
  <CharactersWithSpaces>7432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2024-03-19T00:36:00Z</dcterms:created>
  <dc:creator>Administrator</dc:creator>
  <cp:lastModifiedBy>李晨</cp:lastModifiedBy>
  <cp:lastPrinted>2026-06-02T00:14:00Z</cp:lastPrinted>
  <dcterms:modified xsi:type="dcterms:W3CDTF">2026-06-03T08:28:15Z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C08F9D049ACD4D95B1C14AFD11C443D9_13</vt:lpwstr>
  </property>
  <property fmtid="{D5CDD505-2E9C-101B-9397-08002B2CF9AE}" pid="4" name="KSOTemplateDocerSaveRecord">
    <vt:lpwstr>eyJoZGlkIjoiMWUzMmYxOTY5YTJkYjFmMjY1NTQ4Y2ZiYzQ4YzQ4ZjEiLCJ1c2VySWQiOiIzMTAxNjM5NTgifQ==</vt:lpwstr>
  </property>
</Properties>
</file>