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89E03">
      <w:pPr>
        <w:spacing w:after="0" w:afterLines="0" w:line="500" w:lineRule="exact"/>
        <w:ind w:firstLine="320" w:firstLineChars="100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368BEEE1">
      <w:pPr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5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3231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25B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A965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2E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292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3EAD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415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3695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72EB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D24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88.24%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ACE6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25BA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83534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436A4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0614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12A61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392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6536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1.21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7AB63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03D42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0.97</w:t>
            </w:r>
          </w:p>
        </w:tc>
      </w:tr>
      <w:tr w14:paraId="04192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19FD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ADE2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0.96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BD3EE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9803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0.97</w:t>
            </w:r>
          </w:p>
        </w:tc>
      </w:tr>
      <w:tr w14:paraId="2DC3F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A1D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160C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D7ED4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AE48B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D30D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D1F9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E1EF4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0.96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D1536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03CAC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0.97</w:t>
            </w:r>
          </w:p>
        </w:tc>
      </w:tr>
      <w:tr w14:paraId="3C03E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FE8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2D3A8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322B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DECA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5A81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363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BB57A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86B72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CC851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</w:tr>
      <w:tr w14:paraId="4B1C8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1F8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C8806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398.63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04376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37.50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F84DA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250.27</w:t>
            </w:r>
          </w:p>
        </w:tc>
      </w:tr>
      <w:tr w14:paraId="6BF7F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DA5E9">
            <w:pPr>
              <w:widowControl/>
              <w:spacing w:line="36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1、日常工作经费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AA9CC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33.03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1AF1C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37.50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E40A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37.63</w:t>
            </w:r>
          </w:p>
        </w:tc>
      </w:tr>
      <w:tr w14:paraId="5E97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7D37">
            <w:pPr>
              <w:widowControl/>
              <w:spacing w:line="36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414B7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C58F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0124E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E759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F8067">
            <w:pPr>
              <w:widowControl/>
              <w:spacing w:line="3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17C8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365.63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728F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735D7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212.64</w:t>
            </w:r>
          </w:p>
        </w:tc>
      </w:tr>
      <w:tr w14:paraId="6645E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4E2E0">
            <w:pPr>
              <w:widowControl/>
              <w:spacing w:line="360" w:lineRule="exact"/>
              <w:ind w:firstLine="600" w:firstLineChars="3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污染减排生态环境执法监察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9A74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71.71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B1843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986F4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6257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DF755">
            <w:pPr>
              <w:widowControl/>
              <w:spacing w:line="360" w:lineRule="exact"/>
              <w:ind w:firstLine="600" w:firstLineChars="3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大气污染防治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96206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47FC3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B046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872E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33B6">
            <w:pPr>
              <w:widowControl/>
              <w:spacing w:line="360" w:lineRule="exact"/>
              <w:ind w:firstLine="600" w:firstLineChars="3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环境监察、监测等运行经费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1776D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243.92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4A0D3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F7434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C057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A941">
            <w:pPr>
              <w:widowControl/>
              <w:spacing w:line="360" w:lineRule="exact"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污染防治攻坚专项经费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3A10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EDEA9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6C557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8.16</w:t>
            </w:r>
          </w:p>
        </w:tc>
      </w:tr>
      <w:tr w14:paraId="5494A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DDF5A">
            <w:pPr>
              <w:widowControl/>
              <w:spacing w:line="360" w:lineRule="exact"/>
              <w:ind w:firstLine="600" w:firstLineChars="3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其他资金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B6BC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A6D73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5FED8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184.15</w:t>
            </w:r>
          </w:p>
        </w:tc>
      </w:tr>
      <w:tr w14:paraId="7551D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CFC1">
            <w:pPr>
              <w:widowControl/>
              <w:spacing w:line="360" w:lineRule="exact"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2024年其他资金结余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17BD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CD283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92FB6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20.33</w:t>
            </w:r>
          </w:p>
        </w:tc>
      </w:tr>
      <w:tr w14:paraId="1A2C3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C7A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19803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72.1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33780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47.6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F0D0F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43.06</w:t>
            </w:r>
          </w:p>
        </w:tc>
      </w:tr>
      <w:tr w14:paraId="22160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F55B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18B7D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AD6A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33.39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1550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28.88</w:t>
            </w:r>
          </w:p>
        </w:tc>
      </w:tr>
      <w:tr w14:paraId="40E48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E16A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4732E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6.88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4360D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C58B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2.81</w:t>
            </w:r>
          </w:p>
        </w:tc>
      </w:tr>
      <w:tr w14:paraId="2D440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4FC1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BC04A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2F690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33586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7408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BB3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E532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270.64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B56DC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76.40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DE0CE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10.24</w:t>
            </w:r>
          </w:p>
        </w:tc>
      </w:tr>
      <w:tr w14:paraId="4DBD8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E1E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部门基本支出预算调整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8A202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1304D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79.70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27207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——</w:t>
            </w:r>
          </w:p>
        </w:tc>
      </w:tr>
      <w:tr w14:paraId="17386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C76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82E0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B075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79BB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77BD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A85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5CF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8"/>
                <w:szCs w:val="18"/>
                <w:highlight w:val="none"/>
              </w:rPr>
              <w:t>投资概算控制率</w:t>
            </w:r>
          </w:p>
        </w:tc>
      </w:tr>
      <w:tr w14:paraId="4FFE8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312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C22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298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2ED4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2753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331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7BD7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39DC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D80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86E35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严格落实中央八项规定，从严控制“三公”经费。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275044DF">
      <w:pPr>
        <w:widowControl/>
        <w:spacing w:afterLines="0" w:line="400" w:lineRule="exact"/>
        <w:ind w:left="660" w:hanging="660" w:hangingChars="300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B334FD9">
      <w:pPr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</w:p>
    <w:p w14:paraId="2EB0F568"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36203195"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5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95"/>
        <w:gridCol w:w="1064"/>
        <w:gridCol w:w="1623"/>
        <w:gridCol w:w="1223"/>
        <w:gridCol w:w="1273"/>
        <w:gridCol w:w="596"/>
        <w:gridCol w:w="877"/>
        <w:gridCol w:w="1330"/>
      </w:tblGrid>
      <w:tr w14:paraId="50E29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A211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90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E8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岳阳市生态环境局岳阳楼分局　</w:t>
            </w:r>
          </w:p>
        </w:tc>
      </w:tr>
      <w:tr w14:paraId="173B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688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1098C3F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EEB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5398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30A0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C9F5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928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F260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D10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6FE07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3AC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208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D486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332.46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4D5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830.11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2C0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603.53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CB7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62246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72.70%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349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7.27</w:t>
            </w:r>
          </w:p>
        </w:tc>
      </w:tr>
      <w:tr w14:paraId="4BAB3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E14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C43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0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686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0717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F62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9F71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421.21</w:t>
            </w:r>
          </w:p>
        </w:tc>
        <w:tc>
          <w:tcPr>
            <w:tcW w:w="40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64FB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353.26</w:t>
            </w:r>
          </w:p>
        </w:tc>
      </w:tr>
      <w:tr w14:paraId="1174A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773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1EF7">
            <w:pPr>
              <w:widowControl/>
              <w:spacing w:line="240" w:lineRule="exact"/>
              <w:ind w:firstLine="800" w:firstLineChars="4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0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87DF8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250.27</w:t>
            </w:r>
          </w:p>
        </w:tc>
      </w:tr>
      <w:tr w14:paraId="262CA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C81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35F4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0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F47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580F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C6F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F30F"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408.90</w:t>
            </w:r>
          </w:p>
        </w:tc>
        <w:tc>
          <w:tcPr>
            <w:tcW w:w="40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122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645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BEFCE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D010D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0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95C8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D44A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7820B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AC63D4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持续抓实中央、省级等各类环保督察的回头看及整改工作，加强日常监管；</w:t>
            </w:r>
          </w:p>
          <w:p w14:paraId="2AC8C0EC">
            <w:pPr>
              <w:widowControl/>
              <w:numPr>
                <w:ilvl w:val="0"/>
                <w:numId w:val="1"/>
              </w:numPr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全面推进污染防治攻坚战，全面落实“夏季攻势”专项行动；</w:t>
            </w:r>
          </w:p>
          <w:p w14:paraId="4234F39A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3、坚持依法行政，严肃查处各类环境违法行为，加强环境宣传，提高公众环境保护意识。</w:t>
            </w:r>
          </w:p>
        </w:tc>
        <w:tc>
          <w:tcPr>
            <w:tcW w:w="40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5926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</w:t>
            </w:r>
          </w:p>
        </w:tc>
      </w:tr>
      <w:tr w14:paraId="1E2C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8E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452D0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C20723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0ADAD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055F21A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B8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CB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90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22E3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6D5B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B1A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8C0D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F293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12644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443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98CFAB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006918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3E19F3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C68CFF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FDB67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开展生态环境类执法活动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623A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80次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F09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87次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A5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A6AB9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EEC3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5103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6333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2085B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0AA95A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61C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受理各类环境信访件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办结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B6C82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180件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5D9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180件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9D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E0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F8C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12A5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0D64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0434C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124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83D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完成的罚没款征缴任务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5571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15万元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5B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6万元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EE6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A146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43E9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FF96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3F4B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68D51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2B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94F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城区空气质量优良率达标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91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90%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FE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87.4%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FCC6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C0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056B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3444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E530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33F07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F19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64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无较大污染事件发生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57E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争取0发生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24E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0发生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EB91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5AAB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F41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C6A0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2A47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2D8BE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DA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D99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按时完成各项指标任务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15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A0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FEE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F0BE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74E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092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A63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7F9D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8BE2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6C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成本控制在预算内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2F6F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830.11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E29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603.53万元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BD2B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5AE2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F9E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B06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0AE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95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443896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1BC870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655182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7A7CC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E000C2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8213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推动污染治理环保产业发展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B6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有所改善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48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有所改善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56BA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CA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15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DA61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CB0B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9EF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D2C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048955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270B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提升公众环保意识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675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有所提升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9B66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有所提升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569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601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D0E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6492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D99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3A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068D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634CEC2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764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区域内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生态环境考核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9AFE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达标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D41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达标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1D2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C0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721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F15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78E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BD1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567C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D5D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绿色发展稳步推进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6CE2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效益明显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113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效益明显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47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ED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4916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06AA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752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E5B5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294F7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74C22C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5410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D0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全体人民群众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81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1CE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96%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16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25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6BB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50D1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7E77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F7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6418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96.27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E099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582F7602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p w14:paraId="5B006F0E">
      <w:pPr>
        <w:widowControl/>
        <w:spacing w:line="600" w:lineRule="exact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4E823395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5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0EC42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1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1F8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FA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日常工作经费</w:t>
            </w:r>
          </w:p>
        </w:tc>
      </w:tr>
      <w:tr w14:paraId="67EF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DA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B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岳阳市生态环境局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92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0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岳阳市生态环境局岳阳楼分局</w:t>
            </w:r>
          </w:p>
        </w:tc>
      </w:tr>
      <w:tr w14:paraId="34F0D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983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0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50C70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39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277CA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E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79387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5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6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D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6D04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2FF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3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2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3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0D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37.63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E5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0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7D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1BA5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DBA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F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B2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37.5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D2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37.5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1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A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A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3B3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9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5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6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4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2C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6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9C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7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0009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B27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1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6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BC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F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7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4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748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72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DE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46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30D41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7AE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4BD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目标1：日常环境监管、执法工作；</w:t>
            </w:r>
          </w:p>
          <w:p w14:paraId="0731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目标2：委托第三方进行执法性监督监测；</w:t>
            </w:r>
          </w:p>
          <w:p w14:paraId="5D9E4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目标3：环保迎检、应急处置经费；</w:t>
            </w:r>
          </w:p>
          <w:p w14:paraId="33526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目标4：节能环保宣传费用。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06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已完成</w:t>
            </w:r>
          </w:p>
        </w:tc>
      </w:tr>
      <w:tr w14:paraId="6EDA7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E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4394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780E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DD06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0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A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E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2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45690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CC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26F7C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74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7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FE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611F0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FE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1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6BCF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1431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3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监测频次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每月一次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1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5A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0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0D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2BFC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12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5E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CF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62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各种整治符合环保标准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A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完成主要污染物减排目标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0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C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DD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A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E533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18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bookmarkStart w:id="0" w:name="_GoBack" w:colFirst="4" w:colLast="5"/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5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7B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2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按时完成各项指标任务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C5D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67B1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B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E8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C6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bookmarkEnd w:id="0"/>
      <w:tr w14:paraId="3446D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EA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D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6C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84E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突发任务及时完成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15E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即时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80AB6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即时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BA0A5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CBFD6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19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DC1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43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0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A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45C7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预算内开支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3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≤37.63</w:t>
            </w:r>
          </w:p>
          <w:p w14:paraId="537EC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A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37.63</w:t>
            </w:r>
          </w:p>
          <w:p w14:paraId="2555F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11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A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6001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0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1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4E39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18F0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ADF7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F1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2E90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D4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实现节能减排，减少环保治理经费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E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B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2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F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E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F6C77D2"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9C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F8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E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D25A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5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6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B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7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4E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6DCE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C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90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7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F05B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1D5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城区空气质量优良率达标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6DC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1F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87.4%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A19F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6E31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B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7F1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D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04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2A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D2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推动辖区生态环境质量持续改善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A8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环境质量稳步提升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2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稳步提升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5B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0D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3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1D08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18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6B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36F60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7A7E3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C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C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全体人民群众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9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7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E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F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1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23FF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C7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4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15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1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EAF25AD">
      <w:pP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3BF0CD51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62F0FA7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23393597"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br w:type="page"/>
      </w:r>
    </w:p>
    <w:p w14:paraId="79442272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2B47577A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0B8B9E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年度岳阳市生态环境局岳阳楼分局</w:t>
      </w:r>
    </w:p>
    <w:p w14:paraId="05C74D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2BD5C23F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2D3B0236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B7AFF52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849E02B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5C78EF5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42F9792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A43DF9F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710C859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B6590D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115CC6F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018543D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882CC3E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DCF09B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AD86D3A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61D49F7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3651926A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  月  日</w:t>
      </w:r>
    </w:p>
    <w:p w14:paraId="4D22A5C4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56F32A61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年度岳阳市生态环境局岳阳楼分局</w:t>
      </w:r>
    </w:p>
    <w:p w14:paraId="053CB687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424449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821696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7DC9F260">
      <w:pPr>
        <w:pStyle w:val="2"/>
        <w:numPr>
          <w:ilvl w:val="0"/>
          <w:numId w:val="0"/>
        </w:numPr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    （一）职能职责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     受岳阳市生态环境局委托，主要是贯彻落实环境保护政策，执行国家环保法律法规。负责辖区内环境规划、环境管理、环境宣传教育、环境监察等工作。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     （二）机构设置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      独立编制、核算机构数1个，核定编制数为17人，现在实有编制人员15人。离退休人员15人，为岳阳市生态环境局的派出机构。</w:t>
      </w:r>
    </w:p>
    <w:p w14:paraId="5086D90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7FBB801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（一）基本支出情况</w:t>
      </w:r>
    </w:p>
    <w:p w14:paraId="0BD8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960" w:firstLineChars="3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2025年基本支出年初预算数为</w:t>
      </w:r>
      <w:r>
        <w:rPr>
          <w:rFonts w:hint="eastAsia" w:ascii="宋体" w:hAnsi="宋体"/>
          <w:sz w:val="32"/>
          <w:szCs w:val="24"/>
        </w:rPr>
        <w:t>294.9</w:t>
      </w:r>
      <w:r>
        <w:rPr>
          <w:rFonts w:hint="eastAsia" w:ascii="宋体" w:hAnsi="宋体"/>
          <w:sz w:val="32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万元，决算实际支出数为353.26万元。其中：人员经费310.20万元，主要包括：基本工资、津贴补贴、奖金、伙食补助费、机关事业单位基本养老保险缴费、职工基本医疗保险缴费、其他社会保障缴费、住房公积金、医疗费、退休费、医疗费补助、其他对个人和家庭的补助等；公用经费43.06万元，主要包括：办公费、印刷费、水费、电费、物业管理费、差旅费、维修（护）费、工会经费、劳务费、福利费、公务用车运行维护费、其他交通费用、其他商品和服务支出等。</w:t>
      </w:r>
    </w:p>
    <w:p w14:paraId="34EEBF8C">
      <w:pPr>
        <w:pStyle w:val="8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项目支出情况</w:t>
      </w:r>
    </w:p>
    <w:p w14:paraId="7CB73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2025年项目支出年初预算数为37.50万元，决算实际支出数为250.27万元。主要用于日常工作经费、污染防治攻坚专项经费、其他资金、2024年其他资金结余等方面。</w:t>
      </w:r>
    </w:p>
    <w:p w14:paraId="6F4DEC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三、政府性基金预算支出情况</w:t>
      </w:r>
    </w:p>
    <w:p w14:paraId="48EE01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2025年本单位无政府性基金预算安排的支出。</w:t>
      </w:r>
    </w:p>
    <w:p w14:paraId="3915CA1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国有资本经营预算支出情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况</w:t>
      </w:r>
    </w:p>
    <w:p w14:paraId="343E12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2025年本单位无国有资本经营预算安排的支出。</w:t>
      </w:r>
    </w:p>
    <w:p w14:paraId="42C8E0A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社会保险基金预算支出情况</w:t>
      </w:r>
    </w:p>
    <w:p w14:paraId="09AEC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2025年本单位无社会保险基金预算安排的支出。</w:t>
      </w:r>
    </w:p>
    <w:p w14:paraId="152777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7BD0B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1.环境治理效能</w:t>
      </w:r>
    </w:p>
    <w:p w14:paraId="3778C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全年执法87次，办理环境违法案件10个，其中下达行政处罚决定书3个，罚款16万元，下达不予行政处罚决定书7个，免罚34.4万元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办结各类环境信访件180件。办理建设项目环评报告表11个，审核50家排污许可简化管理单位年度执行报告。组织辖区内11家重点监管企业在华能电厂组织开展的液氨泄露生态环境应急演练，提升突发环境应急事件处置能力能力，预防突发事件。</w:t>
      </w:r>
    </w:p>
    <w:p w14:paraId="068175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2.环境质量改善</w:t>
      </w:r>
    </w:p>
    <w:p w14:paraId="55185EAA">
      <w:pPr>
        <w:pStyle w:val="2"/>
        <w:ind w:firstLine="640" w:firstLineChars="200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深入打好污染防治攻坚战，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严厉打击超标排放等违法行为，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全年完成柴油货车OBD安装10台、非道路移动机械电子标签安装17台、非道路移动机械尾气抽测39台次；组织相关街道对三个国控空气质量站点制定“一站一策”精细化管控方案；强化秸秆禁烧、烟花爆竹禁燃禁放管控，制定管控方案，实施人员打桩定位，建立健全全天候、立体化的管控体系，随意焚烧燃放现象明显减少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中心城区连续两年达到国家空气质量二级标准，楼区三个站点PM2.5平均浓度降至36.3微克/立方米，同比下降2.7%，优良天数比率87.4%。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5个国家、省水质监测断面水质均达到考核要求，劣五类污水比例为0，集中式饮用水水源水质达标率100%。</w:t>
      </w:r>
      <w:r>
        <w:rPr>
          <w:rFonts w:hint="eastAsia" w:ascii="仿宋_GB2312" w:hAnsi="仿宋" w:eastAsia="仿宋_GB2312" w:cs="仿宋_GB2312"/>
          <w:color w:val="0C0C0C"/>
          <w:sz w:val="32"/>
          <w:szCs w:val="32"/>
          <w:highlight w:val="none"/>
          <w:lang w:eastAsia="zh-CN"/>
        </w:rPr>
        <w:t>完成</w:t>
      </w:r>
      <w:r>
        <w:rPr>
          <w:rFonts w:hint="eastAsia" w:ascii="仿宋_GB2312" w:hAnsi="仿宋" w:eastAsia="仿宋_GB2312" w:cs="仿宋_GB2312"/>
          <w:color w:val="0C0C0C"/>
          <w:sz w:val="32"/>
          <w:szCs w:val="32"/>
          <w:highlight w:val="none"/>
          <w:lang w:val="en-US" w:eastAsia="zh-CN"/>
        </w:rPr>
        <w:t>6个排口的现场排查和溯源监测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完成兰桥水库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等“千吨万人”饮用水源保护区水质监测工作，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饮用水水源地水质达标率稳定保持100%；完成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东风湖流域水生态修复一期工程、二期工程、吉家湖环境综合治理、凉亭水库溢流口生态建设等项目，着力改善重点河湖水环境。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完成3个优先监管地块污染状况调查和风险管控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；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动态更新全区土壤污染重点监管单位清单，督促企业开展土壤隐患排查和自行监测；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开展</w:t>
      </w:r>
      <w:r>
        <w:rPr>
          <w:rFonts w:hint="eastAsia" w:ascii="仿宋_GB2312" w:hAnsi="仿宋" w:eastAsia="仿宋_GB2312" w:cs="仿宋"/>
          <w:sz w:val="32"/>
          <w:szCs w:val="32"/>
        </w:rPr>
        <w:t>农村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环境综合</w:t>
      </w:r>
      <w:r>
        <w:rPr>
          <w:rFonts w:hint="eastAsia" w:ascii="仿宋_GB2312" w:hAnsi="仿宋" w:eastAsia="仿宋_GB2312" w:cs="仿宋"/>
          <w:sz w:val="32"/>
          <w:szCs w:val="32"/>
        </w:rPr>
        <w:t>治理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项目申报，通过省厅评审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强化危固废监管，核实135家企业管理计划，审核一般工业固废申报9家；加强辐射安全监管，对现场检查申请辐射安全许可证的11家单位。</w:t>
      </w:r>
    </w:p>
    <w:p w14:paraId="54AC35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3.环境问题整改</w:t>
      </w:r>
    </w:p>
    <w:p w14:paraId="6CC8B9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制定并印发岳阳楼区2025年度污染防治攻坚战方案，全力开展“夏季攻势”，圆满完成省、市下达的32项任务整改销号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制定岳阳楼区贯彻落实第二轮省生态环境保护督察、第三轮中央生态环境保护督察报告整改方案。发挥生环委办统筹协调的和督查督办职能，对督察反馈问题开展回头看，督促推动整改，完成22项突出生态环境问题整改销号，华泰小区黑臭水塘污染整治入选省生态环境警示片优秀案例。</w:t>
      </w:r>
    </w:p>
    <w:p w14:paraId="6BEAF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.运行成本控制</w:t>
      </w:r>
    </w:p>
    <w:p w14:paraId="32E50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“三公经费”、公用经费均控制在预算范围内，预算编制完整，预算执行率达到标准，项目支出预算调整率偏高，主要原因是追加项目增加导致预算调整金额增加。</w:t>
      </w:r>
    </w:p>
    <w:p w14:paraId="539C3F9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1D975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1、环境质量改善仍任重道远，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部分区域环境基础设施短板明显，如东风湖流域的青年堤调蓄池、高家组调蓄池等在暴雨的特殊天气仍然存在初期雨水溢流现象。大气污染防治形势不乐观，虽然2025年达到了国家二级标准，但这是在全市平均的基础上获得的，我区三个空气站点PM2.5平均浓度仍高于35ug/m3，联防联控水平亟待提升，餐饮油烟治理、扬尘管控、烟花爆竹禁燃禁放、秸秆生物质禁烧等还存在较大差距。</w:t>
      </w:r>
    </w:p>
    <w:p w14:paraId="5FC61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2、信访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案件问题。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岳阳楼区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人口与产业高度集中，导致环境信访投诉量持续处于高位。加之经开区改革后社会事务移交，信访量激增，而分局人员有限，调处的及时性可能会出现滞后，影响环境满意度。还有一些复杂的投诉事项，不仅涉及环境污染信访，更牵扯邻里纠纷等多重矛盾，而责任都往生环部门压，挑战巨大。</w:t>
      </w:r>
    </w:p>
    <w:p w14:paraId="23967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3、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统筹协调职能。生环委统筹协调职能发挥不充分，多部门联动开展工作、处理环境事件的能力和经验不足，部门衔接、信息共享、行动协同常态化、制度化水平不高，如在今年4月应对杭瑞大桥下污水直排的突发网络舆情时，住建、生环、水利等各自为战，沟通不足，应对被动。</w:t>
      </w:r>
    </w:p>
    <w:p w14:paraId="680B9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八、下一步改进措施</w:t>
      </w:r>
    </w:p>
    <w:p w14:paraId="545A37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（一）打好污染防治攻坚战。以持续改善区域环境质量为核心，高标准统筹打好蓝天、碧水、净土保卫战。严格落实空气质量改善行动方案，强化秸秆与生物质禁烧、扬尘、油烟及工业污染等重点源头管控，做好重污染天气应急应对，全力降低PM2.5浓度，提升优良天数比率。加强洞庭湖等重点河湖排污口监管，巩固整治成效，减少污水溢流。保障饮用水源地安全，持续推进东风湖水生态修复，稳定水质达标。抓好重点污染地块风险管控与治理修复，加强固体废物与危险废物规范化管理，保障土壤环境安全。</w:t>
      </w:r>
    </w:p>
    <w:p w14:paraId="5D5CF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巩固环境问题整改成效。突出抓好中央、省、市各级生态环境保护督察反馈问题及自查问题的整改闭环管理。对已完成整改的任务，制度化开展“回头看”与效果评估，严防问题反弹与回潮。对需持续推进的整改事项，实施清单化管理与动态销号，压实主体责任，确保按时限与标准落实到位，以扎实成效迎接可能开展的新一轮环保督察。</w:t>
      </w:r>
    </w:p>
    <w:p w14:paraId="471A2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（三）强化生态系统保护与修复。 坚持山水林田湖草沙一体化保护和系统治理，筑牢区域生态安全屏障。重点推进东风湖流域水生态修复治理工程，切实增强生态系统的连通性、稳定性与可持续性。积极申报并实施中心城区入湖排口整治工程、农村环境整治等项目，以具体工程支撑整体生态功能提升。</w:t>
      </w:r>
    </w:p>
    <w:p w14:paraId="02704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 w14:paraId="450352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本单位高度重视预算支出绩效自评工作，积极落实主体责任，成立预算绩效管理领导小组，加强组织领导，按照绩效管理工作方案和绩效评价相关制度规定，认真开展自评，确保绩效自评工作顺利实施，根据本单位年初工作规划和重点工作，积极履行职责，强化管理，较好地完成了年度工作目标，并按照要求进行信息公开，对存在的问题积极整改。</w:t>
      </w:r>
    </w:p>
    <w:p w14:paraId="118030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eastAsia="黑体" w:cs="Times New Roman"/>
          <w:sz w:val="32"/>
          <w:szCs w:val="32"/>
          <w:highlight w:val="none"/>
          <w:lang w:val="en-US"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572DCB73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无。</w:t>
      </w:r>
    </w:p>
    <w:p w14:paraId="4025D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5D830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BD67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109C9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0A9BF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42C2F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</w:t>
      </w:r>
    </w:p>
    <w:sectPr>
      <w:footerReference r:id="rId3" w:type="default"/>
      <w:footerReference r:id="rId4" w:type="even"/>
      <w:pgSz w:w="11906" w:h="16838"/>
      <w:pgMar w:top="1587" w:right="1588" w:bottom="1587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95C34">
    <w:pPr>
      <w:pStyle w:val="4"/>
      <w:framePr w:wrap="around" w:vAnchor="text" w:hAnchor="margin" w:xAlign="outside" w:y="1"/>
      <w:rPr>
        <w:rStyle w:val="7"/>
        <w:rFonts w:eastAsia="宋体" w:cs="Times New Roman"/>
        <w:sz w:val="24"/>
        <w:szCs w:val="24"/>
      </w:rPr>
    </w:pPr>
    <w:r>
      <w:rPr>
        <w:rStyle w:val="7"/>
        <w:rFonts w:hint="eastAsia" w:eastAsia="宋体" w:cs="Times New Roman"/>
        <w:kern w:val="2"/>
        <w:sz w:val="24"/>
        <w:szCs w:val="24"/>
      </w:rPr>
      <w:t xml:space="preserve">— </w:t>
    </w:r>
    <w:r>
      <w:rPr>
        <w:rFonts w:eastAsia="宋体" w:cs="Times New Roman"/>
        <w:sz w:val="24"/>
        <w:szCs w:val="24"/>
      </w:rPr>
      <w:fldChar w:fldCharType="begin"/>
    </w:r>
    <w:r>
      <w:rPr>
        <w:rStyle w:val="7"/>
        <w:rFonts w:eastAsia="宋体" w:cs="Times New Roman"/>
        <w:kern w:val="2"/>
        <w:sz w:val="24"/>
        <w:szCs w:val="24"/>
      </w:rPr>
      <w:instrText xml:space="preserve">PAGE  </w:instrText>
    </w:r>
    <w:r>
      <w:rPr>
        <w:rFonts w:eastAsia="宋体" w:cs="Times New Roman"/>
        <w:sz w:val="24"/>
        <w:szCs w:val="24"/>
      </w:rPr>
      <w:fldChar w:fldCharType="separate"/>
    </w:r>
    <w:r>
      <w:rPr>
        <w:rStyle w:val="7"/>
        <w:rFonts w:eastAsia="宋体" w:cs="Times New Roman"/>
        <w:kern w:val="2"/>
        <w:sz w:val="24"/>
        <w:szCs w:val="24"/>
      </w:rPr>
      <w:t>1</w:t>
    </w:r>
    <w:r>
      <w:rPr>
        <w:rFonts w:eastAsia="宋体" w:cs="Times New Roman"/>
        <w:sz w:val="24"/>
        <w:szCs w:val="24"/>
      </w:rPr>
      <w:fldChar w:fldCharType="end"/>
    </w:r>
    <w:r>
      <w:rPr>
        <w:rStyle w:val="7"/>
        <w:rFonts w:hint="eastAsia" w:eastAsia="宋体" w:cs="Times New Roman"/>
        <w:kern w:val="2"/>
        <w:sz w:val="24"/>
        <w:szCs w:val="24"/>
      </w:rPr>
      <w:t xml:space="preserve"> —</w:t>
    </w:r>
  </w:p>
  <w:p w14:paraId="0D216405">
    <w:pPr>
      <w:pStyle w:val="4"/>
      <w:ind w:right="360" w:firstLine="360"/>
      <w:rPr>
        <w:rFonts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45F89">
    <w:pPr>
      <w:pStyle w:val="4"/>
      <w:framePr w:wrap="around" w:vAnchor="text" w:hAnchor="margin" w:xAlign="outside" w:y="1"/>
      <w:rPr>
        <w:rStyle w:val="7"/>
        <w:rFonts w:eastAsia="宋体" w:cs="Times New Roman"/>
      </w:rPr>
    </w:pPr>
    <w:r>
      <w:rPr>
        <w:rFonts w:eastAsia="宋体" w:cs="Times New Roman"/>
      </w:rPr>
      <w:fldChar w:fldCharType="begin"/>
    </w:r>
    <w:r>
      <w:rPr>
        <w:rStyle w:val="7"/>
        <w:rFonts w:eastAsia="宋体" w:cs="Times New Roman"/>
        <w:kern w:val="2"/>
        <w:sz w:val="21"/>
        <w:szCs w:val="24"/>
      </w:rPr>
      <w:instrText xml:space="preserve">PAGE  </w:instrText>
    </w:r>
    <w:r>
      <w:rPr>
        <w:rFonts w:eastAsia="宋体" w:cs="Times New Roman"/>
      </w:rPr>
      <w:fldChar w:fldCharType="end"/>
    </w:r>
  </w:p>
  <w:p w14:paraId="2CE8E564">
    <w:pPr>
      <w:pStyle w:val="4"/>
      <w:ind w:right="360" w:firstLine="360"/>
      <w:rPr>
        <w:rFonts w:eastAsia="宋体"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6EE3A"/>
    <w:multiLevelType w:val="singleLevel"/>
    <w:tmpl w:val="9986EE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E475AF1"/>
    <w:multiLevelType w:val="singleLevel"/>
    <w:tmpl w:val="0E475AF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58855DE"/>
    <w:multiLevelType w:val="singleLevel"/>
    <w:tmpl w:val="258855D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72DDDE8"/>
    <w:multiLevelType w:val="singleLevel"/>
    <w:tmpl w:val="472DDDE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57B47"/>
    <w:rsid w:val="00481283"/>
    <w:rsid w:val="04554457"/>
    <w:rsid w:val="0E321624"/>
    <w:rsid w:val="14080AAF"/>
    <w:rsid w:val="1C1E7F2D"/>
    <w:rsid w:val="26541E80"/>
    <w:rsid w:val="2D947006"/>
    <w:rsid w:val="2DBC426D"/>
    <w:rsid w:val="2EDA2117"/>
    <w:rsid w:val="33151970"/>
    <w:rsid w:val="345F515F"/>
    <w:rsid w:val="35B35D03"/>
    <w:rsid w:val="3767417F"/>
    <w:rsid w:val="40643251"/>
    <w:rsid w:val="46457B47"/>
    <w:rsid w:val="48953389"/>
    <w:rsid w:val="4BED2AE8"/>
    <w:rsid w:val="4EB104B0"/>
    <w:rsid w:val="4EC15329"/>
    <w:rsid w:val="563722FC"/>
    <w:rsid w:val="5C142F3C"/>
    <w:rsid w:val="69416A6E"/>
    <w:rsid w:val="6A7E25F5"/>
    <w:rsid w:val="6E274D51"/>
    <w:rsid w:val="6E313E22"/>
    <w:rsid w:val="71652B2F"/>
    <w:rsid w:val="71C07FB0"/>
    <w:rsid w:val="79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character" w:styleId="7">
    <w:name w:val="page number"/>
    <w:qFormat/>
    <w:uiPriority w:val="0"/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1122</Words>
  <Characters>1397</Characters>
  <Lines>0</Lines>
  <Paragraphs>0</Paragraphs>
  <TotalTime>0</TotalTime>
  <ScaleCrop>false</ScaleCrop>
  <LinksUpToDate>false</LinksUpToDate>
  <CharactersWithSpaces>1525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2025-06-09T10:23:00Z</dcterms:created>
  <dc:creator>严碧琪</dc:creator>
  <cp:lastModifiedBy>李晨</cp:lastModifiedBy>
  <dcterms:modified xsi:type="dcterms:W3CDTF">2026-05-29T07:42:08Z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8008C3C34B8046F59A4D47E020869A12_11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