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BAC0C">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25862F71">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5"/>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47BB04BB">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3D9F567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65DC0F6F">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33688620">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421E4291">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42EEED49">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CB9C90B">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3972335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91</w:t>
            </w:r>
          </w:p>
        </w:tc>
        <w:tc>
          <w:tcPr>
            <w:tcW w:w="2240" w:type="dxa"/>
            <w:gridSpan w:val="2"/>
            <w:tcBorders>
              <w:top w:val="single" w:color="auto" w:sz="4" w:space="0"/>
              <w:left w:val="nil"/>
              <w:bottom w:val="single" w:color="auto" w:sz="4" w:space="0"/>
              <w:right w:val="single" w:color="auto" w:sz="4" w:space="0"/>
            </w:tcBorders>
            <w:noWrap w:val="0"/>
            <w:vAlign w:val="center"/>
          </w:tcPr>
          <w:p w14:paraId="5642A96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91</w:t>
            </w:r>
          </w:p>
        </w:tc>
        <w:tc>
          <w:tcPr>
            <w:tcW w:w="2041" w:type="dxa"/>
            <w:gridSpan w:val="2"/>
            <w:tcBorders>
              <w:top w:val="single" w:color="auto" w:sz="4" w:space="0"/>
              <w:left w:val="nil"/>
              <w:bottom w:val="single" w:color="auto" w:sz="4" w:space="0"/>
              <w:right w:val="single" w:color="auto" w:sz="4" w:space="0"/>
            </w:tcBorders>
            <w:noWrap w:val="0"/>
            <w:vAlign w:val="center"/>
          </w:tcPr>
          <w:p w14:paraId="44C91BE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100.00%</w:t>
            </w:r>
            <w:r>
              <w:rPr>
                <w:rFonts w:hint="eastAsia" w:ascii="仿宋_GB2312" w:hAnsi="仿宋_GB2312" w:eastAsia="仿宋_GB2312" w:cs="仿宋_GB2312"/>
                <w:sz w:val="20"/>
                <w:szCs w:val="20"/>
                <w:highlight w:val="none"/>
              </w:rPr>
              <w:t>　</w:t>
            </w:r>
          </w:p>
        </w:tc>
      </w:tr>
      <w:tr w14:paraId="212F996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57B7E9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A2452F9">
            <w:pPr>
              <w:widowControl/>
              <w:spacing w:line="360" w:lineRule="exact"/>
              <w:jc w:val="center"/>
              <w:rPr>
                <w:rFonts w:hint="eastAsia" w:ascii="仿宋_GB2312" w:hAnsi="仿宋_GB2312" w:eastAsia="仿宋_GB2312" w:cs="仿宋_GB2312"/>
                <w:b/>
                <w:bCs/>
                <w:kern w:val="0"/>
                <w:sz w:val="20"/>
                <w:szCs w:val="20"/>
                <w:highlight w:val="none"/>
                <w:lang w:val="en-US" w:eastAsia="zh-CN" w:bidi="ar-SA"/>
              </w:rPr>
            </w:pPr>
            <w:r>
              <w:rPr>
                <w:rFonts w:hint="eastAsia" w:ascii="仿宋_GB2312" w:hAnsi="仿宋_GB2312" w:eastAsia="仿宋_GB2312" w:cs="仿宋_GB2312"/>
                <w:b/>
                <w:bCs/>
                <w:sz w:val="20"/>
                <w:szCs w:val="20"/>
                <w:highlight w:val="none"/>
                <w:lang w:eastAsia="zh-CN"/>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2F9A3616">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w:t>
            </w:r>
            <w:r>
              <w:rPr>
                <w:rFonts w:hint="eastAsia" w:ascii="仿宋_GB2312" w:hAnsi="仿宋_GB2312" w:eastAsia="仿宋_GB2312" w:cs="仿宋_GB2312"/>
                <w:b/>
                <w:bCs/>
                <w:sz w:val="20"/>
                <w:szCs w:val="20"/>
                <w:highlight w:val="none"/>
                <w:lang w:val="en-US" w:eastAsia="zh-CN"/>
              </w:rPr>
              <w:t>25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6E484D42">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421CF73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DD949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63C2423">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3.60</w:t>
            </w:r>
          </w:p>
        </w:tc>
        <w:tc>
          <w:tcPr>
            <w:tcW w:w="2240" w:type="dxa"/>
            <w:gridSpan w:val="2"/>
            <w:tcBorders>
              <w:top w:val="single" w:color="auto" w:sz="4" w:space="0"/>
              <w:left w:val="nil"/>
              <w:bottom w:val="single" w:color="auto" w:sz="4" w:space="0"/>
              <w:right w:val="single" w:color="000000" w:sz="4" w:space="0"/>
            </w:tcBorders>
            <w:noWrap w:val="0"/>
            <w:vAlign w:val="center"/>
          </w:tcPr>
          <w:p w14:paraId="2D52615B">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5.00</w:t>
            </w:r>
          </w:p>
        </w:tc>
        <w:tc>
          <w:tcPr>
            <w:tcW w:w="2041" w:type="dxa"/>
            <w:gridSpan w:val="2"/>
            <w:tcBorders>
              <w:top w:val="single" w:color="auto" w:sz="4" w:space="0"/>
              <w:left w:val="nil"/>
              <w:bottom w:val="single" w:color="auto" w:sz="4" w:space="0"/>
              <w:right w:val="single" w:color="000000" w:sz="4" w:space="0"/>
            </w:tcBorders>
            <w:noWrap w:val="0"/>
            <w:vAlign w:val="center"/>
          </w:tcPr>
          <w:p w14:paraId="15E6F6A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3.12</w:t>
            </w:r>
          </w:p>
        </w:tc>
      </w:tr>
      <w:tr w14:paraId="6DFA471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86E5EDB">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2BAADD2">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3.00</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6404B0FC">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0041FCC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3.00</w:t>
            </w:r>
          </w:p>
        </w:tc>
      </w:tr>
      <w:tr w14:paraId="1F0CE74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B0E7E5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363076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31BB628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966039D">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195C879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7E2DFB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BB44A6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3.00</w:t>
            </w:r>
          </w:p>
        </w:tc>
        <w:tc>
          <w:tcPr>
            <w:tcW w:w="2240" w:type="dxa"/>
            <w:gridSpan w:val="2"/>
            <w:tcBorders>
              <w:top w:val="single" w:color="auto" w:sz="4" w:space="0"/>
              <w:left w:val="nil"/>
              <w:bottom w:val="single" w:color="auto" w:sz="4" w:space="0"/>
              <w:right w:val="single" w:color="000000" w:sz="4" w:space="0"/>
            </w:tcBorders>
            <w:shd w:val="clear" w:color="auto" w:fill="auto"/>
            <w:noWrap w:val="0"/>
            <w:vAlign w:val="center"/>
          </w:tcPr>
          <w:p w14:paraId="41706465">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3.00</w:t>
            </w:r>
          </w:p>
        </w:tc>
        <w:tc>
          <w:tcPr>
            <w:tcW w:w="2041" w:type="dxa"/>
            <w:gridSpan w:val="2"/>
            <w:tcBorders>
              <w:top w:val="single" w:color="auto" w:sz="4" w:space="0"/>
              <w:left w:val="nil"/>
              <w:bottom w:val="single" w:color="auto" w:sz="4" w:space="0"/>
              <w:right w:val="single" w:color="000000" w:sz="4" w:space="0"/>
            </w:tcBorders>
            <w:noWrap w:val="0"/>
            <w:vAlign w:val="center"/>
          </w:tcPr>
          <w:p w14:paraId="7E56C025">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kern w:val="0"/>
                <w:sz w:val="20"/>
                <w:szCs w:val="20"/>
                <w:highlight w:val="none"/>
                <w:lang w:val="en-US" w:eastAsia="zh-CN" w:bidi="ar-SA"/>
              </w:rPr>
              <w:t>3.00</w:t>
            </w:r>
          </w:p>
        </w:tc>
      </w:tr>
      <w:tr w14:paraId="16A670D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7978B9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73630770">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34EB41A">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EF1EE40">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5CA745D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96622A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B2F0B5D">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0.60</w:t>
            </w:r>
          </w:p>
        </w:tc>
        <w:tc>
          <w:tcPr>
            <w:tcW w:w="2240" w:type="dxa"/>
            <w:gridSpan w:val="2"/>
            <w:tcBorders>
              <w:top w:val="single" w:color="auto" w:sz="4" w:space="0"/>
              <w:left w:val="nil"/>
              <w:bottom w:val="single" w:color="auto" w:sz="4" w:space="0"/>
              <w:right w:val="single" w:color="000000" w:sz="4" w:space="0"/>
            </w:tcBorders>
            <w:noWrap w:val="0"/>
            <w:vAlign w:val="center"/>
          </w:tcPr>
          <w:p w14:paraId="1DCCD681">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2.00</w:t>
            </w:r>
          </w:p>
        </w:tc>
        <w:tc>
          <w:tcPr>
            <w:tcW w:w="2041" w:type="dxa"/>
            <w:gridSpan w:val="2"/>
            <w:tcBorders>
              <w:top w:val="single" w:color="auto" w:sz="4" w:space="0"/>
              <w:left w:val="nil"/>
              <w:bottom w:val="single" w:color="auto" w:sz="4" w:space="0"/>
              <w:right w:val="single" w:color="000000" w:sz="4" w:space="0"/>
            </w:tcBorders>
            <w:noWrap w:val="0"/>
            <w:vAlign w:val="center"/>
          </w:tcPr>
          <w:p w14:paraId="23EC439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0.12</w:t>
            </w:r>
          </w:p>
        </w:tc>
      </w:tr>
      <w:tr w14:paraId="7ECA1A9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17329E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252ABB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1302.63</w:t>
            </w:r>
          </w:p>
        </w:tc>
        <w:tc>
          <w:tcPr>
            <w:tcW w:w="2240" w:type="dxa"/>
            <w:gridSpan w:val="2"/>
            <w:tcBorders>
              <w:top w:val="single" w:color="auto" w:sz="4" w:space="0"/>
              <w:left w:val="nil"/>
              <w:bottom w:val="single" w:color="auto" w:sz="4" w:space="0"/>
              <w:right w:val="single" w:color="000000" w:sz="4" w:space="0"/>
            </w:tcBorders>
            <w:noWrap w:val="0"/>
            <w:vAlign w:val="center"/>
          </w:tcPr>
          <w:p w14:paraId="60DCFC1A">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69.93</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6553EA0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仿宋_GB2312" w:hAnsi="仿宋_GB2312" w:eastAsia="仿宋_GB2312" w:cs="仿宋_GB2312"/>
                <w:sz w:val="20"/>
                <w:szCs w:val="20"/>
                <w:highlight w:val="none"/>
                <w:lang w:val="en-US" w:eastAsia="zh-CN"/>
              </w:rPr>
              <w:t>1119.51</w:t>
            </w:r>
          </w:p>
        </w:tc>
      </w:tr>
      <w:tr w14:paraId="4665490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A9CD3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w:t>
            </w:r>
            <w:r>
              <w:rPr>
                <w:rFonts w:hint="eastAsia" w:ascii="仿宋_GB2312" w:hAnsi="仿宋_GB2312" w:eastAsia="仿宋_GB2312" w:cs="仿宋_GB2312"/>
                <w:sz w:val="20"/>
                <w:szCs w:val="20"/>
                <w:highlight w:val="none"/>
                <w:lang w:val="en-US" w:eastAsia="zh-CN"/>
              </w:rPr>
              <w:t>日常</w:t>
            </w:r>
            <w:r>
              <w:rPr>
                <w:rFonts w:hint="eastAsia" w:ascii="仿宋_GB2312" w:hAnsi="仿宋_GB2312" w:eastAsia="仿宋_GB2312" w:cs="仿宋_GB2312"/>
                <w:sz w:val="20"/>
                <w:szCs w:val="20"/>
              </w:rPr>
              <w:t>工作经费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6151BE8">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70264405">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kern w:val="0"/>
                <w:sz w:val="20"/>
                <w:szCs w:val="20"/>
                <w:highlight w:val="none"/>
                <w:lang w:val="en-US" w:eastAsia="zh-CN" w:bidi="ar-SA"/>
              </w:rPr>
              <w:t>57.93</w:t>
            </w:r>
          </w:p>
        </w:tc>
        <w:tc>
          <w:tcPr>
            <w:tcW w:w="2041" w:type="dxa"/>
            <w:gridSpan w:val="2"/>
            <w:tcBorders>
              <w:top w:val="single" w:color="auto" w:sz="4" w:space="0"/>
              <w:left w:val="nil"/>
              <w:bottom w:val="single" w:color="auto" w:sz="4" w:space="0"/>
              <w:right w:val="single" w:color="000000" w:sz="4" w:space="0"/>
            </w:tcBorders>
            <w:noWrap w:val="0"/>
            <w:vAlign w:val="center"/>
          </w:tcPr>
          <w:p w14:paraId="72F14AC4">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50.36</w:t>
            </w:r>
          </w:p>
        </w:tc>
      </w:tr>
      <w:tr w14:paraId="77F2794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759C2C">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w:t>
            </w:r>
            <w:r>
              <w:rPr>
                <w:rFonts w:hint="eastAsia" w:ascii="仿宋_GB2312" w:hAnsi="仿宋_GB2312" w:eastAsia="仿宋_GB2312" w:cs="仿宋_GB2312"/>
                <w:sz w:val="20"/>
                <w:szCs w:val="20"/>
              </w:rPr>
              <w:t>运行维护经费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94C0276">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077DDC1">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0804231">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439C3A6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1F7FDF8">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lang w:val="en-US" w:eastAsia="zh-CN"/>
              </w:rPr>
              <w:t>3、</w:t>
            </w:r>
            <w:r>
              <w:rPr>
                <w:rFonts w:hint="eastAsia" w:ascii="仿宋_GB2312" w:hAnsi="仿宋_GB2312" w:eastAsia="仿宋_GB2312" w:cs="仿宋_GB2312"/>
                <w:sz w:val="20"/>
                <w:szCs w:val="20"/>
              </w:rPr>
              <w:t>上级专项资金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4691C89">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1203.71</w:t>
            </w:r>
          </w:p>
        </w:tc>
        <w:tc>
          <w:tcPr>
            <w:tcW w:w="2240" w:type="dxa"/>
            <w:gridSpan w:val="2"/>
            <w:tcBorders>
              <w:top w:val="single" w:color="auto" w:sz="4" w:space="0"/>
              <w:left w:val="nil"/>
              <w:bottom w:val="single" w:color="auto" w:sz="4" w:space="0"/>
              <w:right w:val="single" w:color="000000" w:sz="4" w:space="0"/>
            </w:tcBorders>
            <w:noWrap w:val="0"/>
            <w:vAlign w:val="center"/>
          </w:tcPr>
          <w:p w14:paraId="5C8A8554">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A4169E9">
            <w:pPr>
              <w:widowControl/>
              <w:spacing w:line="360" w:lineRule="exact"/>
              <w:jc w:val="center"/>
              <w:rPr>
                <w:rFonts w:hint="default" w:ascii="仿宋_GB2312" w:hAnsi="仿宋_GB2312" w:eastAsia="仿宋_GB2312" w:cs="仿宋_GB2312"/>
                <w:b/>
                <w:bCs/>
                <w:sz w:val="20"/>
                <w:szCs w:val="20"/>
                <w:highlight w:val="none"/>
                <w:lang w:val="en-US" w:eastAsia="zh-CN"/>
              </w:rPr>
            </w:pPr>
          </w:p>
        </w:tc>
      </w:tr>
      <w:tr w14:paraId="14E3A3B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759E2B3">
            <w:pPr>
              <w:widowControl/>
              <w:spacing w:line="360" w:lineRule="exact"/>
              <w:ind w:firstLine="400" w:firstLineChars="200"/>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办案费支出</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8FE21F0">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14.10</w:t>
            </w:r>
          </w:p>
        </w:tc>
        <w:tc>
          <w:tcPr>
            <w:tcW w:w="2240" w:type="dxa"/>
            <w:gridSpan w:val="2"/>
            <w:tcBorders>
              <w:top w:val="single" w:color="auto" w:sz="4" w:space="0"/>
              <w:left w:val="nil"/>
              <w:bottom w:val="single" w:color="auto" w:sz="4" w:space="0"/>
              <w:right w:val="single" w:color="000000" w:sz="4" w:space="0"/>
            </w:tcBorders>
            <w:noWrap w:val="0"/>
            <w:vAlign w:val="center"/>
          </w:tcPr>
          <w:p w14:paraId="40B7CC2F">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12.00</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1AF4759C">
            <w:pPr>
              <w:widowControl/>
              <w:spacing w:line="360" w:lineRule="exact"/>
              <w:jc w:val="center"/>
              <w:rPr>
                <w:rFonts w:hint="default" w:ascii="宋体" w:hAnsi="宋体" w:eastAsia="宋体" w:cs="宋体"/>
                <w:i w:val="0"/>
                <w:iCs w:val="0"/>
                <w:color w:val="000000"/>
                <w:kern w:val="0"/>
                <w:sz w:val="22"/>
                <w:szCs w:val="22"/>
                <w:u w:val="none"/>
                <w:lang w:val="en-US" w:eastAsia="zh-CN" w:bidi="ar-SA"/>
              </w:rPr>
            </w:pPr>
            <w:r>
              <w:rPr>
                <w:rFonts w:hint="eastAsia" w:ascii="仿宋_GB2312" w:hAnsi="仿宋_GB2312" w:eastAsia="仿宋_GB2312" w:cs="仿宋_GB2312"/>
                <w:kern w:val="0"/>
                <w:sz w:val="20"/>
                <w:szCs w:val="20"/>
                <w:highlight w:val="none"/>
                <w:lang w:val="en-US" w:eastAsia="zh-CN" w:bidi="ar-SA"/>
              </w:rPr>
              <w:t>14.02</w:t>
            </w:r>
          </w:p>
        </w:tc>
      </w:tr>
      <w:tr w14:paraId="122BBC7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D1FFE6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w:t>
            </w:r>
            <w:r>
              <w:rPr>
                <w:rFonts w:hint="eastAsia" w:ascii="仿宋_GB2312" w:hAnsi="仿宋_GB2312" w:eastAsia="仿宋_GB2312" w:cs="仿宋_GB2312"/>
                <w:sz w:val="20"/>
                <w:szCs w:val="20"/>
                <w:highlight w:val="none"/>
                <w:lang w:val="en-US" w:eastAsia="zh-CN"/>
              </w:rPr>
              <w:t xml:space="preserve"> 5、</w:t>
            </w:r>
            <w:r>
              <w:rPr>
                <w:rFonts w:hint="eastAsia" w:ascii="仿宋_GB2312" w:hAnsi="仿宋_GB2312" w:eastAsia="仿宋_GB2312" w:cs="仿宋_GB2312"/>
                <w:sz w:val="20"/>
                <w:szCs w:val="20"/>
                <w:highlight w:val="none"/>
              </w:rPr>
              <w:t>环境监测、监控及监察能力建设</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5B34034">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14.96</w:t>
            </w:r>
          </w:p>
        </w:tc>
        <w:tc>
          <w:tcPr>
            <w:tcW w:w="2240" w:type="dxa"/>
            <w:gridSpan w:val="2"/>
            <w:tcBorders>
              <w:top w:val="single" w:color="auto" w:sz="4" w:space="0"/>
              <w:left w:val="nil"/>
              <w:bottom w:val="single" w:color="auto" w:sz="4" w:space="0"/>
              <w:right w:val="single" w:color="000000" w:sz="4" w:space="0"/>
            </w:tcBorders>
            <w:noWrap w:val="0"/>
            <w:vAlign w:val="center"/>
          </w:tcPr>
          <w:p w14:paraId="1C856919">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B31BD5F">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263.00</w:t>
            </w:r>
          </w:p>
        </w:tc>
      </w:tr>
      <w:tr w14:paraId="4D9B300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FE48FB9">
            <w:pPr>
              <w:widowControl/>
              <w:spacing w:line="360" w:lineRule="exact"/>
              <w:jc w:val="left"/>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xml:space="preserve">    6、环境监察、监测等运行</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562B6828">
            <w:pPr>
              <w:widowControl/>
              <w:spacing w:line="360" w:lineRule="exact"/>
              <w:jc w:val="center"/>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69.86</w:t>
            </w:r>
          </w:p>
        </w:tc>
        <w:tc>
          <w:tcPr>
            <w:tcW w:w="2240" w:type="dxa"/>
            <w:gridSpan w:val="2"/>
            <w:tcBorders>
              <w:top w:val="single" w:color="auto" w:sz="4" w:space="0"/>
              <w:left w:val="nil"/>
              <w:bottom w:val="single" w:color="auto" w:sz="4" w:space="0"/>
              <w:right w:val="single" w:color="000000" w:sz="4" w:space="0"/>
            </w:tcBorders>
            <w:noWrap w:val="0"/>
            <w:vAlign w:val="center"/>
          </w:tcPr>
          <w:p w14:paraId="00B18DAD">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7CB14DEE">
            <w:pPr>
              <w:widowControl/>
              <w:spacing w:line="360" w:lineRule="exact"/>
              <w:jc w:val="center"/>
              <w:rPr>
                <w:rFonts w:hint="default" w:ascii="仿宋_GB2312" w:hAnsi="仿宋_GB2312" w:eastAsia="仿宋_GB2312" w:cs="仿宋_GB2312"/>
                <w:sz w:val="20"/>
                <w:szCs w:val="20"/>
                <w:highlight w:val="none"/>
                <w:lang w:val="en-US" w:eastAsia="zh-CN"/>
              </w:rPr>
            </w:pPr>
          </w:p>
        </w:tc>
      </w:tr>
      <w:tr w14:paraId="57D89C0B">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75EDF4FE">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7、水环境质量考核资金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B8A8A0C">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1E8D60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3873C44">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45.00</w:t>
            </w:r>
          </w:p>
        </w:tc>
      </w:tr>
      <w:tr w14:paraId="1DD62266">
        <w:tblPrEx>
          <w:tblCellMar>
            <w:top w:w="0" w:type="dxa"/>
            <w:left w:w="108" w:type="dxa"/>
            <w:bottom w:w="0" w:type="dxa"/>
            <w:right w:w="108" w:type="dxa"/>
          </w:tblCellMar>
        </w:tblPrEx>
        <w:trPr>
          <w:trHeight w:val="346"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7A95FC59">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8、上年单位指标结余结转</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AFB2A8E">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370CEFE7">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B9BFE44">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4.13</w:t>
            </w:r>
          </w:p>
        </w:tc>
      </w:tr>
      <w:tr w14:paraId="4B35946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4FBDC881">
            <w:pPr>
              <w:widowControl/>
              <w:spacing w:line="360" w:lineRule="exact"/>
              <w:ind w:firstLine="400" w:firstLineChars="200"/>
              <w:jc w:val="left"/>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9、县级财政项目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F1C574E">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C468DFE">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427A65D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504.48</w:t>
            </w:r>
          </w:p>
        </w:tc>
      </w:tr>
      <w:tr w14:paraId="1279F95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55A26752">
            <w:pPr>
              <w:pStyle w:val="3"/>
              <w:ind w:left="0" w:leftChars="0" w:firstLine="400" w:firstLineChars="200"/>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10、7个村生活污水治理项目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BB697B4">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1D5FA929">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535852C">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20.00</w:t>
            </w:r>
          </w:p>
        </w:tc>
      </w:tr>
      <w:tr w14:paraId="50E2FF6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50B194FD">
            <w:pPr>
              <w:pStyle w:val="3"/>
              <w:ind w:left="0" w:leftChars="0" w:firstLine="400" w:firstLineChars="200"/>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11、大气污染治理专项资金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D3BDAC3">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EA80214">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3BDDB06">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187.00</w:t>
            </w:r>
          </w:p>
        </w:tc>
      </w:tr>
      <w:tr w14:paraId="26C1B9E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0D8F1245">
            <w:pPr>
              <w:pStyle w:val="3"/>
              <w:ind w:left="0" w:leftChars="0" w:firstLine="400" w:firstLineChars="200"/>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12、月田河沿岸农村生活源治理工程项目</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4A388DF7">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E366B23">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1B6AA0F">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23.85</w:t>
            </w:r>
          </w:p>
        </w:tc>
      </w:tr>
      <w:tr w14:paraId="7585BF8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shd w:val="clear" w:color="auto" w:fill="auto"/>
            <w:noWrap w:val="0"/>
            <w:vAlign w:val="center"/>
          </w:tcPr>
          <w:p w14:paraId="3CD24EF9">
            <w:pPr>
              <w:widowControl/>
              <w:spacing w:line="360" w:lineRule="exact"/>
              <w:ind w:firstLine="400" w:firstLineChars="200"/>
              <w:jc w:val="left"/>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13、其他资金</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29488764">
            <w:pPr>
              <w:widowControl/>
              <w:spacing w:line="360" w:lineRule="exact"/>
              <w:jc w:val="center"/>
              <w:rPr>
                <w:rFonts w:hint="eastAsia"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B518AEA">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p>
        </w:tc>
        <w:tc>
          <w:tcPr>
            <w:tcW w:w="2041" w:type="dxa"/>
            <w:gridSpan w:val="2"/>
            <w:tcBorders>
              <w:top w:val="single" w:color="auto" w:sz="4" w:space="0"/>
              <w:left w:val="nil"/>
              <w:bottom w:val="single" w:color="auto" w:sz="4" w:space="0"/>
              <w:right w:val="single" w:color="000000" w:sz="4" w:space="0"/>
            </w:tcBorders>
            <w:noWrap w:val="0"/>
            <w:vAlign w:val="center"/>
          </w:tcPr>
          <w:p w14:paraId="2D6DFA0D">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7.67</w:t>
            </w:r>
          </w:p>
        </w:tc>
      </w:tr>
      <w:tr w14:paraId="1280E02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0C9D4F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02C8663E">
            <w:pPr>
              <w:widowControl/>
              <w:spacing w:line="360" w:lineRule="exact"/>
              <w:jc w:val="center"/>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258.21</w:t>
            </w:r>
          </w:p>
        </w:tc>
        <w:tc>
          <w:tcPr>
            <w:tcW w:w="2240" w:type="dxa"/>
            <w:gridSpan w:val="2"/>
            <w:tcBorders>
              <w:top w:val="single" w:color="auto" w:sz="4" w:space="0"/>
              <w:left w:val="nil"/>
              <w:bottom w:val="single" w:color="auto" w:sz="4" w:space="0"/>
              <w:right w:val="single" w:color="000000" w:sz="4" w:space="0"/>
            </w:tcBorders>
            <w:noWrap w:val="0"/>
            <w:vAlign w:val="center"/>
          </w:tcPr>
          <w:p w14:paraId="384E67B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253.19</w:t>
            </w:r>
          </w:p>
        </w:tc>
        <w:tc>
          <w:tcPr>
            <w:tcW w:w="2041" w:type="dxa"/>
            <w:gridSpan w:val="2"/>
            <w:tcBorders>
              <w:top w:val="single" w:color="auto" w:sz="4" w:space="0"/>
              <w:left w:val="nil"/>
              <w:bottom w:val="single" w:color="auto" w:sz="4" w:space="0"/>
              <w:right w:val="single" w:color="000000" w:sz="4" w:space="0"/>
            </w:tcBorders>
            <w:shd w:val="clear" w:color="auto" w:fill="auto"/>
            <w:noWrap w:val="0"/>
            <w:vAlign w:val="center"/>
          </w:tcPr>
          <w:p w14:paraId="2D10A7C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xml:space="preserve">244.55  </w:t>
            </w:r>
          </w:p>
        </w:tc>
      </w:tr>
      <w:tr w14:paraId="7C28F17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3F0D1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1C138996">
            <w:pPr>
              <w:widowControl/>
              <w:spacing w:line="360" w:lineRule="exact"/>
              <w:jc w:val="center"/>
              <w:rPr>
                <w:rFonts w:hint="default" w:ascii="仿宋" w:hAnsi="仿宋" w:eastAsia="宋体" w:cs="Times New Roman"/>
                <w:kern w:val="0"/>
                <w:sz w:val="28"/>
                <w:szCs w:val="24"/>
                <w:lang w:val="en-US" w:eastAsia="zh-CN" w:bidi="ar-SA"/>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207.64</w:t>
            </w:r>
          </w:p>
        </w:tc>
        <w:tc>
          <w:tcPr>
            <w:tcW w:w="2240" w:type="dxa"/>
            <w:gridSpan w:val="2"/>
            <w:tcBorders>
              <w:top w:val="single" w:color="auto" w:sz="4" w:space="0"/>
              <w:left w:val="nil"/>
              <w:bottom w:val="single" w:color="auto" w:sz="4" w:space="0"/>
              <w:right w:val="single" w:color="000000" w:sz="4" w:space="0"/>
            </w:tcBorders>
            <w:noWrap w:val="0"/>
            <w:vAlign w:val="center"/>
          </w:tcPr>
          <w:p w14:paraId="49BAD00D">
            <w:pPr>
              <w:widowControl/>
              <w:spacing w:line="360" w:lineRule="exact"/>
              <w:jc w:val="cente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207.20</w:t>
            </w:r>
          </w:p>
        </w:tc>
        <w:tc>
          <w:tcPr>
            <w:tcW w:w="2041" w:type="dxa"/>
            <w:gridSpan w:val="2"/>
            <w:tcBorders>
              <w:top w:val="single" w:color="auto" w:sz="4" w:space="0"/>
              <w:left w:val="nil"/>
              <w:bottom w:val="single" w:color="auto" w:sz="4" w:space="0"/>
              <w:right w:val="single" w:color="000000" w:sz="4" w:space="0"/>
            </w:tcBorders>
            <w:noWrap w:val="0"/>
            <w:vAlign w:val="center"/>
          </w:tcPr>
          <w:p w14:paraId="7E38380D">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198.86</w:t>
            </w:r>
          </w:p>
        </w:tc>
      </w:tr>
      <w:tr w14:paraId="423F17B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15F9A35">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31680706">
            <w:pPr>
              <w:widowControl/>
              <w:spacing w:line="360" w:lineRule="exact"/>
              <w:jc w:val="center"/>
              <w:rPr>
                <w:rFonts w:hint="default"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20.01</w:t>
            </w:r>
          </w:p>
        </w:tc>
        <w:tc>
          <w:tcPr>
            <w:tcW w:w="2240" w:type="dxa"/>
            <w:gridSpan w:val="2"/>
            <w:tcBorders>
              <w:top w:val="single" w:color="auto" w:sz="4" w:space="0"/>
              <w:left w:val="nil"/>
              <w:bottom w:val="single" w:color="auto" w:sz="4" w:space="0"/>
              <w:right w:val="single" w:color="000000" w:sz="4" w:space="0"/>
            </w:tcBorders>
            <w:noWrap w:val="0"/>
            <w:vAlign w:val="center"/>
          </w:tcPr>
          <w:p w14:paraId="2241EF3F">
            <w:pPr>
              <w:widowControl/>
              <w:spacing w:line="360" w:lineRule="exact"/>
              <w:jc w:val="cente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.00</w:t>
            </w:r>
          </w:p>
        </w:tc>
        <w:tc>
          <w:tcPr>
            <w:tcW w:w="2041" w:type="dxa"/>
            <w:gridSpan w:val="2"/>
            <w:tcBorders>
              <w:top w:val="single" w:color="auto" w:sz="4" w:space="0"/>
              <w:left w:val="nil"/>
              <w:bottom w:val="single" w:color="auto" w:sz="4" w:space="0"/>
              <w:right w:val="single" w:color="000000" w:sz="4" w:space="0"/>
            </w:tcBorders>
            <w:noWrap w:val="0"/>
            <w:vAlign w:val="center"/>
          </w:tcPr>
          <w:p w14:paraId="4D7531DB">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11.54</w:t>
            </w:r>
          </w:p>
        </w:tc>
      </w:tr>
      <w:tr w14:paraId="6C1BC00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A2731A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56ACAB26">
            <w:pPr>
              <w:widowControl/>
              <w:spacing w:line="360" w:lineRule="exact"/>
              <w:jc w:val="center"/>
              <w:rPr>
                <w:rFonts w:hint="eastAsia" w:ascii="仿宋_GB2312" w:hAnsi="仿宋_GB2312" w:eastAsia="仿宋_GB2312" w:cs="仿宋_GB2312"/>
                <w:color w:val="000000" w:themeColor="text1"/>
                <w:kern w:val="0"/>
                <w:sz w:val="20"/>
                <w:szCs w:val="20"/>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1.02</w:t>
            </w:r>
          </w:p>
        </w:tc>
        <w:tc>
          <w:tcPr>
            <w:tcW w:w="2240" w:type="dxa"/>
            <w:gridSpan w:val="2"/>
            <w:tcBorders>
              <w:top w:val="single" w:color="auto" w:sz="4" w:space="0"/>
              <w:left w:val="nil"/>
              <w:bottom w:val="single" w:color="auto" w:sz="4" w:space="0"/>
              <w:right w:val="single" w:color="000000" w:sz="4" w:space="0"/>
            </w:tcBorders>
            <w:noWrap w:val="0"/>
            <w:vAlign w:val="center"/>
          </w:tcPr>
          <w:p w14:paraId="28C47BC0">
            <w:pPr>
              <w:widowControl/>
              <w:spacing w:line="360" w:lineRule="exact"/>
              <w:jc w:val="cente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7D5AE43C">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0.96</w:t>
            </w:r>
          </w:p>
        </w:tc>
      </w:tr>
      <w:tr w14:paraId="1301FCD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63F474E">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shd w:val="clear" w:color="auto" w:fill="auto"/>
            <w:noWrap w:val="0"/>
            <w:vAlign w:val="center"/>
          </w:tcPr>
          <w:p w14:paraId="6AD1807F">
            <w:pPr>
              <w:widowControl/>
              <w:spacing w:line="360" w:lineRule="exact"/>
              <w:jc w:val="center"/>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390.30</w:t>
            </w:r>
          </w:p>
        </w:tc>
        <w:tc>
          <w:tcPr>
            <w:tcW w:w="2240" w:type="dxa"/>
            <w:gridSpan w:val="2"/>
            <w:tcBorders>
              <w:top w:val="single" w:color="auto" w:sz="4" w:space="0"/>
              <w:left w:val="nil"/>
              <w:bottom w:val="single" w:color="auto" w:sz="4" w:space="0"/>
              <w:right w:val="single" w:color="000000" w:sz="4" w:space="0"/>
            </w:tcBorders>
            <w:noWrap w:val="0"/>
            <w:vAlign w:val="center"/>
          </w:tcPr>
          <w:p w14:paraId="46340B35">
            <w:pPr>
              <w:widowControl/>
              <w:spacing w:line="360" w:lineRule="exact"/>
              <w:jc w:val="center"/>
              <w:rPr>
                <w:rFonts w:hint="default" w:ascii="仿宋_GB2312" w:hAnsi="仿宋_GB2312" w:eastAsia="仿宋_GB2312" w:cs="仿宋_GB2312"/>
                <w:color w:val="000000" w:themeColor="text1"/>
                <w:sz w:val="20"/>
                <w:szCs w:val="20"/>
                <w:highlight w:val="none"/>
                <w:lang w:val="en-US"/>
                <w14:textFill>
                  <w14:solidFill>
                    <w14:schemeClr w14:val="tx1"/>
                  </w14:solidFill>
                </w14:textFill>
              </w:rPr>
            </w:pPr>
            <w:r>
              <w:rPr>
                <w:rFonts w:hint="eastAsia" w:ascii="仿宋_GB2312" w:hAnsi="仿宋_GB2312" w:eastAsia="仿宋_GB2312" w:cs="仿宋_GB2312"/>
                <w:color w:val="000000" w:themeColor="text1"/>
                <w:sz w:val="20"/>
                <w:szCs w:val="20"/>
                <w:highlight w:val="none"/>
                <w:lang w:val="en-US" w:eastAsia="zh-CN"/>
                <w14:textFill>
                  <w14:solidFill>
                    <w14:schemeClr w14:val="tx1"/>
                  </w14:solidFill>
                </w14:textFill>
              </w:rPr>
              <w:t>665.82</w:t>
            </w:r>
          </w:p>
        </w:tc>
        <w:tc>
          <w:tcPr>
            <w:tcW w:w="2041" w:type="dxa"/>
            <w:gridSpan w:val="2"/>
            <w:tcBorders>
              <w:top w:val="single" w:color="auto" w:sz="4" w:space="0"/>
              <w:left w:val="nil"/>
              <w:bottom w:val="single" w:color="auto" w:sz="4" w:space="0"/>
              <w:right w:val="single" w:color="000000" w:sz="4" w:space="0"/>
            </w:tcBorders>
            <w:noWrap w:val="0"/>
            <w:vAlign w:val="center"/>
          </w:tcPr>
          <w:p w14:paraId="051D28D3">
            <w:pPr>
              <w:widowControl/>
              <w:spacing w:line="36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303.04</w:t>
            </w:r>
          </w:p>
        </w:tc>
      </w:tr>
      <w:tr w14:paraId="2A7CFCB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94A8C83">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62F0677E">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240" w:type="dxa"/>
            <w:gridSpan w:val="2"/>
            <w:tcBorders>
              <w:top w:val="single" w:color="auto" w:sz="4" w:space="0"/>
              <w:left w:val="nil"/>
              <w:bottom w:val="single" w:color="auto" w:sz="4" w:space="0"/>
              <w:right w:val="single" w:color="000000" w:sz="4" w:space="0"/>
            </w:tcBorders>
            <w:noWrap w:val="0"/>
            <w:vAlign w:val="center"/>
          </w:tcPr>
          <w:p w14:paraId="6081B774">
            <w:pPr>
              <w:widowControl/>
              <w:spacing w:line="360" w:lineRule="exact"/>
              <w:jc w:val="center"/>
              <w:rPr>
                <w:rFonts w:hint="default" w:ascii="仿宋_GB2312" w:hAnsi="仿宋_GB2312" w:eastAsia="仿宋_GB2312" w:cs="仿宋_GB2312"/>
                <w:sz w:val="20"/>
                <w:szCs w:val="20"/>
                <w:highlight w:val="none"/>
                <w:lang w:val="en-US" w:eastAsia="zh-CN"/>
              </w:rPr>
            </w:pPr>
          </w:p>
        </w:tc>
        <w:tc>
          <w:tcPr>
            <w:tcW w:w="2041" w:type="dxa"/>
            <w:gridSpan w:val="2"/>
            <w:tcBorders>
              <w:top w:val="single" w:color="auto" w:sz="4" w:space="0"/>
              <w:left w:val="nil"/>
              <w:bottom w:val="single" w:color="auto" w:sz="4" w:space="0"/>
              <w:right w:val="single" w:color="000000" w:sz="4" w:space="0"/>
            </w:tcBorders>
            <w:noWrap w:val="0"/>
            <w:vAlign w:val="center"/>
          </w:tcPr>
          <w:p w14:paraId="3E2B28D6">
            <w:pPr>
              <w:widowControl/>
              <w:spacing w:line="360" w:lineRule="exact"/>
              <w:jc w:val="center"/>
              <w:rPr>
                <w:rFonts w:hint="eastAsia" w:ascii="仿宋_GB2312" w:hAnsi="仿宋_GB2312" w:eastAsia="仿宋_GB2312" w:cs="仿宋_GB2312"/>
                <w:sz w:val="20"/>
                <w:szCs w:val="20"/>
                <w:highlight w:val="none"/>
                <w:lang w:val="en-US" w:eastAsia="zh-CN"/>
              </w:rPr>
            </w:pPr>
          </w:p>
        </w:tc>
      </w:tr>
      <w:tr w14:paraId="38469410">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2AD5DBB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04558F3C">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42EC5CCB">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23E27DA4">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1B829A89">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7599699A">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282F98B1">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48940F05">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21DC799B">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21F0A06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37C22E8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618168E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615ACACA">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200985C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4E92022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67AF8C75">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BD4930C">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31C3C51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bl>
    <w:p w14:paraId="79DE9297">
      <w:pPr>
        <w:widowControl/>
        <w:spacing w:afterLines="0" w:line="400" w:lineRule="exact"/>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42BB28D2">
      <w:pPr>
        <w:widowControl/>
        <w:spacing w:afterLines="0" w:line="400" w:lineRule="exact"/>
        <w:jc w:val="left"/>
        <w:rPr>
          <w:rFonts w:hint="default" w:ascii="Times New Roman" w:hAnsi="Times New Roman" w:eastAsia="仿宋_GB2312" w:cs="Times New Roman"/>
          <w:sz w:val="22"/>
          <w:highlight w:val="none"/>
        </w:rPr>
      </w:pPr>
    </w:p>
    <w:p w14:paraId="7A51D0FB">
      <w:pPr>
        <w:widowControl/>
        <w:spacing w:after="0" w:afterLines="0" w:line="400" w:lineRule="exact"/>
        <w:jc w:val="left"/>
        <w:rPr>
          <w:rFonts w:hint="eastAsia" w:ascii="黑体" w:hAnsi="黑体" w:eastAsia="黑体" w:cs="黑体"/>
          <w:sz w:val="32"/>
          <w:szCs w:val="32"/>
          <w:highlight w:val="none"/>
          <w:lang w:eastAsia="zh-CN"/>
        </w:rPr>
      </w:pPr>
      <w:r>
        <w:rPr>
          <w:rFonts w:hint="default" w:ascii="Times New Roman" w:hAnsi="Times New Roman" w:eastAsia="仿宋_GB2312" w:cs="Times New Roman"/>
          <w:sz w:val="22"/>
          <w:highlight w:val="none"/>
        </w:rPr>
        <w:t>填表人：        填报日期：          联系电话：            单位负责人签字：</w:t>
      </w:r>
      <w:r>
        <w:rPr>
          <w:rFonts w:hint="default" w:ascii="Times New Roman" w:hAnsi="Times New Roman" w:eastAsia="仿宋_GB2312" w:cs="Times New Roman"/>
          <w:sz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39A41BA1">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lang w:eastAsia="zh-CN"/>
        </w:rPr>
        <w:t>2025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5"/>
        <w:tblW w:w="10079" w:type="dxa"/>
        <w:jc w:val="center"/>
        <w:tblLayout w:type="autofit"/>
        <w:tblCellMar>
          <w:top w:w="0" w:type="dxa"/>
          <w:left w:w="108" w:type="dxa"/>
          <w:bottom w:w="0" w:type="dxa"/>
          <w:right w:w="108" w:type="dxa"/>
        </w:tblCellMar>
      </w:tblPr>
      <w:tblGrid>
        <w:gridCol w:w="1074"/>
        <w:gridCol w:w="1074"/>
        <w:gridCol w:w="1025"/>
        <w:gridCol w:w="1265"/>
        <w:gridCol w:w="1306"/>
        <w:gridCol w:w="1316"/>
        <w:gridCol w:w="713"/>
        <w:gridCol w:w="872"/>
        <w:gridCol w:w="1434"/>
      </w:tblGrid>
      <w:tr w14:paraId="7FE79EF8">
        <w:tblPrEx>
          <w:tblCellMar>
            <w:top w:w="0" w:type="dxa"/>
            <w:left w:w="108" w:type="dxa"/>
            <w:bottom w:w="0" w:type="dxa"/>
            <w:right w:w="108" w:type="dxa"/>
          </w:tblCellMar>
        </w:tblPrEx>
        <w:trPr>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14:paraId="59C0B87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9005" w:type="dxa"/>
            <w:gridSpan w:val="8"/>
            <w:tcBorders>
              <w:top w:val="single" w:color="auto" w:sz="4" w:space="0"/>
              <w:left w:val="nil"/>
              <w:bottom w:val="single" w:color="auto" w:sz="4" w:space="0"/>
              <w:right w:val="single" w:color="auto" w:sz="4" w:space="0"/>
            </w:tcBorders>
            <w:noWrap w:val="0"/>
            <w:vAlign w:val="center"/>
          </w:tcPr>
          <w:p w14:paraId="7981662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岳阳市生态环境局岳阳县分局</w:t>
            </w:r>
            <w:r>
              <w:rPr>
                <w:rFonts w:hint="eastAsia" w:ascii="仿宋_GB2312" w:hAnsi="仿宋_GB2312" w:eastAsia="仿宋_GB2312" w:cs="仿宋_GB2312"/>
                <w:color w:val="000000"/>
                <w:sz w:val="20"/>
                <w:szCs w:val="20"/>
                <w:highlight w:val="none"/>
              </w:rPr>
              <w:t>　</w:t>
            </w:r>
          </w:p>
        </w:tc>
      </w:tr>
      <w:tr w14:paraId="00372FEB">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14:paraId="68DA51F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67BAB78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099" w:type="dxa"/>
            <w:gridSpan w:val="2"/>
            <w:tcBorders>
              <w:top w:val="nil"/>
              <w:left w:val="nil"/>
              <w:bottom w:val="single" w:color="auto" w:sz="4" w:space="0"/>
              <w:right w:val="single" w:color="auto" w:sz="4" w:space="0"/>
            </w:tcBorders>
            <w:noWrap w:val="0"/>
            <w:vAlign w:val="center"/>
          </w:tcPr>
          <w:p w14:paraId="46A01D4A">
            <w:pPr>
              <w:spacing w:line="240" w:lineRule="exact"/>
              <w:jc w:val="center"/>
              <w:rPr>
                <w:rFonts w:hint="eastAsia" w:ascii="仿宋_GB2312" w:hAnsi="仿宋_GB2312" w:eastAsia="仿宋_GB2312" w:cs="仿宋_GB2312"/>
                <w:sz w:val="20"/>
                <w:szCs w:val="20"/>
                <w:highlight w:val="none"/>
              </w:rPr>
            </w:pPr>
          </w:p>
        </w:tc>
        <w:tc>
          <w:tcPr>
            <w:tcW w:w="1265" w:type="dxa"/>
            <w:tcBorders>
              <w:top w:val="nil"/>
              <w:left w:val="nil"/>
              <w:bottom w:val="single" w:color="auto" w:sz="4" w:space="0"/>
              <w:right w:val="single" w:color="auto" w:sz="4" w:space="0"/>
            </w:tcBorders>
            <w:noWrap w:val="0"/>
            <w:vAlign w:val="center"/>
          </w:tcPr>
          <w:p w14:paraId="7F13C35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06" w:type="dxa"/>
            <w:tcBorders>
              <w:top w:val="nil"/>
              <w:left w:val="nil"/>
              <w:bottom w:val="single" w:color="auto" w:sz="4" w:space="0"/>
              <w:right w:val="single" w:color="auto" w:sz="4" w:space="0"/>
            </w:tcBorders>
            <w:noWrap w:val="0"/>
            <w:vAlign w:val="center"/>
          </w:tcPr>
          <w:p w14:paraId="73F0D81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316" w:type="dxa"/>
            <w:tcBorders>
              <w:top w:val="nil"/>
              <w:left w:val="nil"/>
              <w:bottom w:val="single" w:color="auto" w:sz="4" w:space="0"/>
              <w:right w:val="single" w:color="auto" w:sz="4" w:space="0"/>
            </w:tcBorders>
            <w:noWrap w:val="0"/>
            <w:vAlign w:val="center"/>
          </w:tcPr>
          <w:p w14:paraId="59822CCB">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3" w:type="dxa"/>
            <w:tcBorders>
              <w:top w:val="nil"/>
              <w:left w:val="nil"/>
              <w:bottom w:val="single" w:color="auto" w:sz="4" w:space="0"/>
              <w:right w:val="single" w:color="auto" w:sz="4" w:space="0"/>
            </w:tcBorders>
            <w:noWrap w:val="0"/>
            <w:vAlign w:val="center"/>
          </w:tcPr>
          <w:p w14:paraId="027000A0">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2" w:type="dxa"/>
            <w:tcBorders>
              <w:top w:val="nil"/>
              <w:left w:val="nil"/>
              <w:bottom w:val="single" w:color="auto" w:sz="4" w:space="0"/>
              <w:right w:val="single" w:color="auto" w:sz="4" w:space="0"/>
            </w:tcBorders>
            <w:noWrap w:val="0"/>
            <w:vAlign w:val="center"/>
          </w:tcPr>
          <w:p w14:paraId="577B10ED">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34" w:type="dxa"/>
            <w:tcBorders>
              <w:top w:val="nil"/>
              <w:left w:val="nil"/>
              <w:bottom w:val="single" w:color="auto" w:sz="4" w:space="0"/>
              <w:right w:val="single" w:color="auto" w:sz="4" w:space="0"/>
            </w:tcBorders>
            <w:noWrap w:val="0"/>
            <w:vAlign w:val="center"/>
          </w:tcPr>
          <w:p w14:paraId="7842E075">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463AB69">
        <w:tblPrEx>
          <w:tblCellMar>
            <w:top w:w="0" w:type="dxa"/>
            <w:left w:w="108" w:type="dxa"/>
            <w:bottom w:w="0" w:type="dxa"/>
            <w:right w:w="108" w:type="dxa"/>
          </w:tblCellMar>
        </w:tblPrEx>
        <w:trPr>
          <w:jc w:val="center"/>
        </w:trPr>
        <w:tc>
          <w:tcPr>
            <w:tcW w:w="1074" w:type="dxa"/>
            <w:vMerge w:val="continue"/>
            <w:tcBorders>
              <w:top w:val="nil"/>
              <w:left w:val="single" w:color="auto" w:sz="4" w:space="0"/>
              <w:right w:val="single" w:color="auto" w:sz="4" w:space="0"/>
            </w:tcBorders>
            <w:noWrap w:val="0"/>
            <w:vAlign w:val="center"/>
          </w:tcPr>
          <w:p w14:paraId="6A06452C">
            <w:pPr>
              <w:widowControl/>
              <w:spacing w:line="240" w:lineRule="exact"/>
              <w:jc w:val="center"/>
              <w:rPr>
                <w:rFonts w:hint="eastAsia" w:ascii="仿宋_GB2312" w:hAnsi="仿宋_GB2312" w:eastAsia="仿宋_GB2312" w:cs="仿宋_GB2312"/>
                <w:color w:val="000000"/>
                <w:sz w:val="20"/>
                <w:szCs w:val="20"/>
                <w:highlight w:val="none"/>
              </w:rPr>
            </w:pPr>
          </w:p>
        </w:tc>
        <w:tc>
          <w:tcPr>
            <w:tcW w:w="2099" w:type="dxa"/>
            <w:gridSpan w:val="2"/>
            <w:tcBorders>
              <w:top w:val="nil"/>
              <w:left w:val="nil"/>
              <w:bottom w:val="single" w:color="auto" w:sz="4" w:space="0"/>
              <w:right w:val="single" w:color="auto" w:sz="4" w:space="0"/>
            </w:tcBorders>
            <w:noWrap w:val="0"/>
            <w:vAlign w:val="center"/>
          </w:tcPr>
          <w:p w14:paraId="0363713D">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65" w:type="dxa"/>
            <w:tcBorders>
              <w:top w:val="nil"/>
              <w:left w:val="nil"/>
              <w:bottom w:val="single" w:color="auto" w:sz="4" w:space="0"/>
              <w:right w:val="single" w:color="auto" w:sz="4" w:space="0"/>
            </w:tcBorders>
            <w:noWrap w:val="0"/>
            <w:vAlign w:val="center"/>
          </w:tcPr>
          <w:p w14:paraId="0F8703D8">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1659.59</w:t>
            </w:r>
          </w:p>
        </w:tc>
        <w:tc>
          <w:tcPr>
            <w:tcW w:w="1306" w:type="dxa"/>
            <w:tcBorders>
              <w:top w:val="nil"/>
              <w:left w:val="nil"/>
              <w:bottom w:val="single" w:color="auto" w:sz="4" w:space="0"/>
              <w:right w:val="single" w:color="auto" w:sz="4" w:space="0"/>
            </w:tcBorders>
            <w:noWrap w:val="0"/>
            <w:vAlign w:val="center"/>
          </w:tcPr>
          <w:p w14:paraId="4978BBDB">
            <w:pPr>
              <w:spacing w:line="240" w:lineRule="exact"/>
              <w:jc w:val="center"/>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US"/>
              </w:rPr>
              <w:t>3435.84</w:t>
            </w:r>
          </w:p>
        </w:tc>
        <w:tc>
          <w:tcPr>
            <w:tcW w:w="1316" w:type="dxa"/>
            <w:tcBorders>
              <w:top w:val="nil"/>
              <w:left w:val="nil"/>
              <w:bottom w:val="single" w:color="auto" w:sz="4" w:space="0"/>
              <w:right w:val="single" w:color="auto" w:sz="4" w:space="0"/>
            </w:tcBorders>
            <w:noWrap w:val="0"/>
            <w:vAlign w:val="center"/>
          </w:tcPr>
          <w:p w14:paraId="2EB50A0D">
            <w:pPr>
              <w:spacing w:line="240" w:lineRule="exact"/>
              <w:jc w:val="center"/>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2996.32</w:t>
            </w:r>
          </w:p>
        </w:tc>
        <w:tc>
          <w:tcPr>
            <w:tcW w:w="713" w:type="dxa"/>
            <w:tcBorders>
              <w:top w:val="nil"/>
              <w:left w:val="nil"/>
              <w:bottom w:val="single" w:color="auto" w:sz="4" w:space="0"/>
              <w:right w:val="single" w:color="auto" w:sz="4" w:space="0"/>
            </w:tcBorders>
            <w:noWrap w:val="0"/>
            <w:vAlign w:val="center"/>
          </w:tcPr>
          <w:p w14:paraId="639A7BD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2" w:type="dxa"/>
            <w:tcBorders>
              <w:top w:val="nil"/>
              <w:left w:val="nil"/>
              <w:bottom w:val="single" w:color="auto" w:sz="4" w:space="0"/>
              <w:right w:val="single" w:color="auto" w:sz="4" w:space="0"/>
            </w:tcBorders>
            <w:noWrap w:val="0"/>
            <w:vAlign w:val="center"/>
          </w:tcPr>
          <w:p w14:paraId="0FD70617">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87.21%</w:t>
            </w:r>
          </w:p>
        </w:tc>
        <w:tc>
          <w:tcPr>
            <w:tcW w:w="1434" w:type="dxa"/>
            <w:tcBorders>
              <w:top w:val="nil"/>
              <w:left w:val="nil"/>
              <w:bottom w:val="single" w:color="auto" w:sz="4" w:space="0"/>
              <w:right w:val="single" w:color="auto" w:sz="4" w:space="0"/>
            </w:tcBorders>
            <w:noWrap w:val="0"/>
            <w:vAlign w:val="center"/>
          </w:tcPr>
          <w:p w14:paraId="643FDE71">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8.72</w:t>
            </w:r>
          </w:p>
        </w:tc>
      </w:tr>
      <w:tr w14:paraId="3B08559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61A1E5B1">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nil"/>
              <w:left w:val="nil"/>
              <w:bottom w:val="single" w:color="auto" w:sz="4" w:space="0"/>
              <w:right w:val="single" w:color="auto" w:sz="4" w:space="0"/>
            </w:tcBorders>
            <w:noWrap w:val="0"/>
            <w:vAlign w:val="center"/>
          </w:tcPr>
          <w:p w14:paraId="2117F62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p>
        </w:tc>
        <w:tc>
          <w:tcPr>
            <w:tcW w:w="4335" w:type="dxa"/>
            <w:gridSpan w:val="4"/>
            <w:tcBorders>
              <w:top w:val="nil"/>
              <w:left w:val="nil"/>
              <w:bottom w:val="single" w:color="auto" w:sz="4" w:space="0"/>
              <w:right w:val="single" w:color="auto" w:sz="4" w:space="0"/>
            </w:tcBorders>
            <w:noWrap w:val="0"/>
            <w:vAlign w:val="center"/>
          </w:tcPr>
          <w:p w14:paraId="644E68E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p>
        </w:tc>
      </w:tr>
      <w:tr w14:paraId="54D9E32C">
        <w:tblPrEx>
          <w:tblCellMar>
            <w:top w:w="0" w:type="dxa"/>
            <w:left w:w="108" w:type="dxa"/>
            <w:bottom w:w="0" w:type="dxa"/>
            <w:right w:w="108" w:type="dxa"/>
          </w:tblCellMar>
        </w:tblPrEx>
        <w:trPr>
          <w:trHeight w:val="274" w:hRule="atLeast"/>
          <w:jc w:val="center"/>
        </w:trPr>
        <w:tc>
          <w:tcPr>
            <w:tcW w:w="1074" w:type="dxa"/>
            <w:vMerge w:val="continue"/>
            <w:tcBorders>
              <w:left w:val="single" w:color="auto" w:sz="4" w:space="0"/>
              <w:right w:val="single" w:color="auto" w:sz="4" w:space="0"/>
            </w:tcBorders>
            <w:noWrap w:val="0"/>
            <w:vAlign w:val="center"/>
          </w:tcPr>
          <w:p w14:paraId="20B1FF88">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nil"/>
              <w:left w:val="nil"/>
              <w:bottom w:val="single" w:color="auto" w:sz="4" w:space="0"/>
              <w:right w:val="single" w:color="auto" w:sz="4" w:space="0"/>
            </w:tcBorders>
            <w:noWrap w:val="0"/>
            <w:vAlign w:val="center"/>
          </w:tcPr>
          <w:p w14:paraId="18C0E411">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kern w:val="0"/>
                <w:sz w:val="20"/>
                <w:szCs w:val="20"/>
                <w:highlight w:val="none"/>
                <w:lang w:val="en-US" w:eastAsia="zh-CN" w:bidi="ar-SA"/>
              </w:rPr>
              <w:t>2708.97（包含20万元国有</w:t>
            </w:r>
            <w:r>
              <w:rPr>
                <w:rFonts w:hint="eastAsia" w:ascii="仿宋_GB2312" w:hAnsi="仿宋_GB2312" w:eastAsia="仿宋_GB2312" w:cs="仿宋_GB2312"/>
                <w:color w:val="000000"/>
                <w:sz w:val="20"/>
                <w:szCs w:val="20"/>
                <w:highlight w:val="none"/>
              </w:rPr>
              <w:t>资本经营预算财政拨款收入</w:t>
            </w:r>
            <w:r>
              <w:rPr>
                <w:rFonts w:hint="eastAsia" w:ascii="仿宋_GB2312" w:hAnsi="仿宋_GB2312" w:eastAsia="仿宋_GB2312" w:cs="仿宋_GB2312"/>
                <w:color w:val="000000"/>
                <w:kern w:val="0"/>
                <w:sz w:val="20"/>
                <w:szCs w:val="20"/>
                <w:highlight w:val="none"/>
                <w:lang w:val="en-US" w:eastAsia="zh-CN" w:bidi="ar-SA"/>
              </w:rPr>
              <w:t>）</w:t>
            </w:r>
          </w:p>
        </w:tc>
        <w:tc>
          <w:tcPr>
            <w:tcW w:w="4335" w:type="dxa"/>
            <w:gridSpan w:val="4"/>
            <w:tcBorders>
              <w:top w:val="nil"/>
              <w:left w:val="nil"/>
              <w:bottom w:val="single" w:color="auto" w:sz="4" w:space="0"/>
              <w:right w:val="single" w:color="auto" w:sz="4" w:space="0"/>
            </w:tcBorders>
            <w:noWrap w:val="0"/>
            <w:vAlign w:val="center"/>
          </w:tcPr>
          <w:p w14:paraId="77F68F9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其中：基本支出：1876.81</w:t>
            </w:r>
          </w:p>
        </w:tc>
      </w:tr>
      <w:tr w14:paraId="1266700F">
        <w:tblPrEx>
          <w:tblCellMar>
            <w:top w:w="0" w:type="dxa"/>
            <w:left w:w="108" w:type="dxa"/>
            <w:bottom w:w="0" w:type="dxa"/>
            <w:right w:w="108" w:type="dxa"/>
          </w:tblCellMar>
        </w:tblPrEx>
        <w:trPr>
          <w:trHeight w:val="250" w:hRule="atLeast"/>
          <w:jc w:val="center"/>
        </w:trPr>
        <w:tc>
          <w:tcPr>
            <w:tcW w:w="1074" w:type="dxa"/>
            <w:vMerge w:val="continue"/>
            <w:tcBorders>
              <w:left w:val="single" w:color="auto" w:sz="4" w:space="0"/>
              <w:right w:val="single" w:color="auto" w:sz="4" w:space="0"/>
            </w:tcBorders>
            <w:noWrap w:val="0"/>
            <w:vAlign w:val="center"/>
          </w:tcPr>
          <w:p w14:paraId="6F5C2A8E">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nil"/>
              <w:left w:val="nil"/>
              <w:bottom w:val="single" w:color="auto" w:sz="4" w:space="0"/>
              <w:right w:val="single" w:color="auto" w:sz="4" w:space="0"/>
            </w:tcBorders>
            <w:noWrap w:val="0"/>
            <w:vAlign w:val="center"/>
          </w:tcPr>
          <w:p w14:paraId="7D777073">
            <w:pPr>
              <w:widowControl/>
              <w:spacing w:line="240" w:lineRule="exact"/>
              <w:ind w:firstLine="1000" w:firstLineChars="5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35" w:type="dxa"/>
            <w:gridSpan w:val="4"/>
            <w:tcBorders>
              <w:top w:val="nil"/>
              <w:left w:val="nil"/>
              <w:bottom w:val="single" w:color="auto" w:sz="4" w:space="0"/>
              <w:right w:val="single" w:color="auto" w:sz="4" w:space="0"/>
            </w:tcBorders>
            <w:noWrap w:val="0"/>
            <w:vAlign w:val="center"/>
          </w:tcPr>
          <w:p w14:paraId="70D4E5C7">
            <w:pPr>
              <w:widowControl/>
              <w:spacing w:line="240" w:lineRule="exact"/>
              <w:ind w:firstLine="600" w:firstLineChars="3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1119.51</w:t>
            </w:r>
          </w:p>
        </w:tc>
      </w:tr>
      <w:tr w14:paraId="0262B48F">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33A105F5">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nil"/>
              <w:left w:val="nil"/>
              <w:bottom w:val="single" w:color="auto" w:sz="4" w:space="0"/>
              <w:right w:val="single" w:color="auto" w:sz="4" w:space="0"/>
            </w:tcBorders>
            <w:noWrap w:val="0"/>
            <w:vAlign w:val="center"/>
          </w:tcPr>
          <w:p w14:paraId="1D3FA7D6">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35" w:type="dxa"/>
            <w:gridSpan w:val="4"/>
            <w:tcBorders>
              <w:top w:val="nil"/>
              <w:left w:val="nil"/>
              <w:bottom w:val="single" w:color="auto" w:sz="4" w:space="0"/>
              <w:right w:val="single" w:color="auto" w:sz="4" w:space="0"/>
            </w:tcBorders>
            <w:noWrap w:val="0"/>
            <w:vAlign w:val="center"/>
          </w:tcPr>
          <w:p w14:paraId="2F989EF3">
            <w:pPr>
              <w:widowControl/>
              <w:spacing w:line="240" w:lineRule="exact"/>
              <w:jc w:val="left"/>
              <w:rPr>
                <w:rFonts w:hint="eastAsia" w:ascii="仿宋_GB2312" w:hAnsi="仿宋_GB2312" w:eastAsia="仿宋_GB2312" w:cs="仿宋_GB2312"/>
                <w:color w:val="000000"/>
                <w:sz w:val="20"/>
                <w:szCs w:val="20"/>
                <w:highlight w:val="none"/>
              </w:rPr>
            </w:pPr>
          </w:p>
        </w:tc>
      </w:tr>
      <w:tr w14:paraId="1BE550E2">
        <w:tblPrEx>
          <w:tblCellMar>
            <w:top w:w="0" w:type="dxa"/>
            <w:left w:w="108" w:type="dxa"/>
            <w:bottom w:w="0" w:type="dxa"/>
            <w:right w:w="108" w:type="dxa"/>
          </w:tblCellMar>
        </w:tblPrEx>
        <w:trPr>
          <w:jc w:val="center"/>
        </w:trPr>
        <w:tc>
          <w:tcPr>
            <w:tcW w:w="1074" w:type="dxa"/>
            <w:vMerge w:val="continue"/>
            <w:tcBorders>
              <w:left w:val="single" w:color="auto" w:sz="4" w:space="0"/>
              <w:bottom w:val="single" w:color="000000" w:sz="4" w:space="0"/>
              <w:right w:val="single" w:color="auto" w:sz="4" w:space="0"/>
            </w:tcBorders>
            <w:noWrap w:val="0"/>
            <w:vAlign w:val="center"/>
          </w:tcPr>
          <w:p w14:paraId="7E7DBBFA">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nil"/>
              <w:left w:val="nil"/>
              <w:bottom w:val="single" w:color="auto" w:sz="4" w:space="0"/>
              <w:right w:val="single" w:color="auto" w:sz="4" w:space="0"/>
            </w:tcBorders>
            <w:noWrap w:val="0"/>
            <w:vAlign w:val="center"/>
          </w:tcPr>
          <w:p w14:paraId="4AD65E56">
            <w:pPr>
              <w:widowControl/>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726.87</w:t>
            </w:r>
          </w:p>
        </w:tc>
        <w:tc>
          <w:tcPr>
            <w:tcW w:w="4335" w:type="dxa"/>
            <w:gridSpan w:val="4"/>
            <w:tcBorders>
              <w:top w:val="nil"/>
              <w:left w:val="nil"/>
              <w:bottom w:val="single" w:color="auto" w:sz="4" w:space="0"/>
              <w:right w:val="single" w:color="auto" w:sz="4" w:space="0"/>
            </w:tcBorders>
            <w:noWrap w:val="0"/>
            <w:vAlign w:val="center"/>
          </w:tcPr>
          <w:p w14:paraId="5E9D9636">
            <w:pPr>
              <w:widowControl/>
              <w:spacing w:line="240" w:lineRule="exact"/>
              <w:jc w:val="left"/>
              <w:rPr>
                <w:rFonts w:hint="eastAsia" w:ascii="仿宋_GB2312" w:hAnsi="仿宋_GB2312" w:eastAsia="仿宋_GB2312" w:cs="仿宋_GB2312"/>
                <w:color w:val="000000"/>
                <w:sz w:val="20"/>
                <w:szCs w:val="20"/>
                <w:highlight w:val="none"/>
              </w:rPr>
            </w:pPr>
          </w:p>
        </w:tc>
      </w:tr>
      <w:tr w14:paraId="72515BCA">
        <w:tblPrEx>
          <w:tblCellMar>
            <w:top w:w="0" w:type="dxa"/>
            <w:left w:w="108" w:type="dxa"/>
            <w:bottom w:w="0" w:type="dxa"/>
            <w:right w:w="108" w:type="dxa"/>
          </w:tblCellMar>
        </w:tblPrEx>
        <w:trPr>
          <w:jc w:val="center"/>
        </w:trPr>
        <w:tc>
          <w:tcPr>
            <w:tcW w:w="1074" w:type="dxa"/>
            <w:vMerge w:val="restart"/>
            <w:tcBorders>
              <w:top w:val="nil"/>
              <w:left w:val="single" w:color="auto" w:sz="4" w:space="0"/>
              <w:bottom w:val="single" w:color="000000" w:sz="4" w:space="0"/>
              <w:right w:val="single" w:color="auto" w:sz="4" w:space="0"/>
            </w:tcBorders>
            <w:noWrap w:val="0"/>
            <w:vAlign w:val="center"/>
          </w:tcPr>
          <w:p w14:paraId="4B34025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70" w:type="dxa"/>
            <w:gridSpan w:val="4"/>
            <w:tcBorders>
              <w:top w:val="single" w:color="auto" w:sz="4" w:space="0"/>
              <w:left w:val="nil"/>
              <w:bottom w:val="single" w:color="auto" w:sz="4" w:space="0"/>
              <w:right w:val="single" w:color="000000" w:sz="4" w:space="0"/>
            </w:tcBorders>
            <w:noWrap w:val="0"/>
            <w:vAlign w:val="center"/>
          </w:tcPr>
          <w:p w14:paraId="515B308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35" w:type="dxa"/>
            <w:gridSpan w:val="4"/>
            <w:tcBorders>
              <w:top w:val="single" w:color="auto" w:sz="4" w:space="0"/>
              <w:left w:val="nil"/>
              <w:bottom w:val="single" w:color="auto" w:sz="4" w:space="0"/>
              <w:right w:val="single" w:color="auto" w:sz="4" w:space="0"/>
            </w:tcBorders>
            <w:noWrap w:val="0"/>
            <w:vAlign w:val="center"/>
          </w:tcPr>
          <w:p w14:paraId="18ED69E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630FEDB4">
        <w:tblPrEx>
          <w:tblCellMar>
            <w:top w:w="0" w:type="dxa"/>
            <w:left w:w="108" w:type="dxa"/>
            <w:bottom w:w="0" w:type="dxa"/>
            <w:right w:w="108" w:type="dxa"/>
          </w:tblCellMar>
        </w:tblPrEx>
        <w:trPr>
          <w:jc w:val="center"/>
        </w:trPr>
        <w:tc>
          <w:tcPr>
            <w:tcW w:w="1074" w:type="dxa"/>
            <w:vMerge w:val="continue"/>
            <w:tcBorders>
              <w:top w:val="nil"/>
              <w:left w:val="single" w:color="auto" w:sz="4" w:space="0"/>
              <w:bottom w:val="single" w:color="000000" w:sz="4" w:space="0"/>
              <w:right w:val="single" w:color="auto" w:sz="4" w:space="0"/>
            </w:tcBorders>
            <w:noWrap w:val="0"/>
            <w:vAlign w:val="center"/>
          </w:tcPr>
          <w:p w14:paraId="35872CBF">
            <w:pPr>
              <w:widowControl/>
              <w:spacing w:line="240" w:lineRule="exact"/>
              <w:jc w:val="left"/>
              <w:rPr>
                <w:rFonts w:hint="eastAsia" w:ascii="仿宋_GB2312" w:hAnsi="仿宋_GB2312" w:eastAsia="仿宋_GB2312" w:cs="仿宋_GB2312"/>
                <w:color w:val="000000"/>
                <w:sz w:val="20"/>
                <w:szCs w:val="20"/>
                <w:highlight w:val="none"/>
              </w:rPr>
            </w:pPr>
          </w:p>
        </w:tc>
        <w:tc>
          <w:tcPr>
            <w:tcW w:w="4670" w:type="dxa"/>
            <w:gridSpan w:val="4"/>
            <w:tcBorders>
              <w:top w:val="single" w:color="auto" w:sz="4" w:space="0"/>
              <w:left w:val="nil"/>
              <w:bottom w:val="single" w:color="auto" w:sz="4" w:space="0"/>
              <w:right w:val="single" w:color="000000" w:sz="4" w:space="0"/>
            </w:tcBorders>
            <w:noWrap w:val="0"/>
            <w:vAlign w:val="center"/>
          </w:tcPr>
          <w:p w14:paraId="72DE6888">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目标1</w:t>
            </w: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eastAsia="zh-CN"/>
              </w:rPr>
              <w:t>县城空气质量优良率达到</w:t>
            </w:r>
            <w:r>
              <w:rPr>
                <w:rFonts w:hint="eastAsia" w:ascii="仿宋_GB2312" w:hAnsi="仿宋_GB2312" w:eastAsia="仿宋_GB2312" w:cs="仿宋_GB2312"/>
                <w:color w:val="000000"/>
                <w:sz w:val="20"/>
                <w:szCs w:val="20"/>
                <w:highlight w:val="none"/>
                <w:lang w:val="en-US" w:eastAsia="zh-CN"/>
              </w:rPr>
              <w:t>90</w:t>
            </w:r>
            <w:r>
              <w:rPr>
                <w:rFonts w:hint="eastAsia" w:ascii="仿宋_GB2312" w:hAnsi="仿宋_GB2312" w:eastAsia="仿宋_GB2312" w:cs="仿宋_GB2312"/>
                <w:color w:val="000000"/>
                <w:sz w:val="20"/>
                <w:szCs w:val="20"/>
                <w:highlight w:val="none"/>
                <w:lang w:eastAsia="zh-CN"/>
              </w:rPr>
              <w:t>%以上，PM2.5浓度控制在35ug/m3以下.</w:t>
            </w:r>
          </w:p>
          <w:p w14:paraId="1A41D3D9">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目标2</w:t>
            </w: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eastAsia="zh-CN"/>
              </w:rPr>
              <w:t>国、省控断面水质达标率达到市级考核要求，集中式饮用水水源地水质达标率保持在100%.</w:t>
            </w:r>
          </w:p>
          <w:p w14:paraId="2D25286C">
            <w:pPr>
              <w:widowControl/>
              <w:spacing w:line="240" w:lineRule="exact"/>
              <w:jc w:val="left"/>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目标3</w:t>
            </w:r>
            <w:r>
              <w:rPr>
                <w:rFonts w:hint="eastAsia" w:ascii="仿宋_GB2312" w:hAnsi="仿宋_GB2312" w:eastAsia="仿宋_GB2312" w:cs="仿宋_GB2312"/>
                <w:color w:val="000000"/>
                <w:sz w:val="20"/>
                <w:szCs w:val="20"/>
                <w:highlight w:val="none"/>
                <w:lang w:val="en-US" w:eastAsia="zh-CN"/>
              </w:rPr>
              <w:t>:</w:t>
            </w:r>
            <w:r>
              <w:rPr>
                <w:rFonts w:hint="eastAsia" w:ascii="仿宋_GB2312" w:hAnsi="仿宋_GB2312" w:eastAsia="仿宋_GB2312" w:cs="仿宋_GB2312"/>
                <w:color w:val="000000"/>
                <w:sz w:val="20"/>
                <w:szCs w:val="20"/>
                <w:highlight w:val="none"/>
                <w:lang w:eastAsia="zh-CN"/>
              </w:rPr>
              <w:t>不发生重大环境污染事故和重大生态破坏事件.</w:t>
            </w:r>
          </w:p>
        </w:tc>
        <w:tc>
          <w:tcPr>
            <w:tcW w:w="4335" w:type="dxa"/>
            <w:gridSpan w:val="4"/>
            <w:tcBorders>
              <w:top w:val="single" w:color="auto" w:sz="4" w:space="0"/>
              <w:left w:val="nil"/>
              <w:bottom w:val="single" w:color="auto" w:sz="4" w:space="0"/>
              <w:right w:val="single" w:color="auto" w:sz="4" w:space="0"/>
            </w:tcBorders>
            <w:noWrap w:val="0"/>
            <w:vAlign w:val="center"/>
          </w:tcPr>
          <w:p w14:paraId="0E123914">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100%已完成</w:t>
            </w:r>
          </w:p>
        </w:tc>
      </w:tr>
      <w:tr w14:paraId="3974C7EE">
        <w:tblPrEx>
          <w:tblCellMar>
            <w:top w:w="0" w:type="dxa"/>
            <w:left w:w="108" w:type="dxa"/>
            <w:bottom w:w="0" w:type="dxa"/>
            <w:right w:w="108" w:type="dxa"/>
          </w:tblCellMar>
        </w:tblPrEx>
        <w:trPr>
          <w:jc w:val="center"/>
        </w:trPr>
        <w:tc>
          <w:tcPr>
            <w:tcW w:w="1074" w:type="dxa"/>
            <w:vMerge w:val="restart"/>
            <w:tcBorders>
              <w:top w:val="nil"/>
              <w:left w:val="single" w:color="auto" w:sz="4" w:space="0"/>
              <w:right w:val="single" w:color="auto" w:sz="4" w:space="0"/>
            </w:tcBorders>
            <w:noWrap w:val="0"/>
            <w:vAlign w:val="center"/>
          </w:tcPr>
          <w:p w14:paraId="08AD16C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8BF66B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20593E2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5323773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569C246C">
            <w:pPr>
              <w:widowControl/>
              <w:spacing w:line="240" w:lineRule="exact"/>
              <w:jc w:val="center"/>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D0C5A5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2E5BC38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8F433D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5F39C0D">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C04D3E9">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41E68B6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557F5AD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5DA76DB">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CC241A5">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622239DA">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492E0DA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431C5070">
            <w:pPr>
              <w:widowControl/>
              <w:spacing w:line="240" w:lineRule="exact"/>
              <w:jc w:val="center"/>
              <w:rPr>
                <w:rFonts w:hint="eastAsia" w:ascii="仿宋_GB2312" w:hAnsi="仿宋_GB2312" w:eastAsia="仿宋_GB2312" w:cs="仿宋_GB2312"/>
                <w:color w:val="000000"/>
                <w:sz w:val="20"/>
                <w:szCs w:val="20"/>
                <w:highlight w:val="none"/>
              </w:rPr>
            </w:pPr>
          </w:p>
          <w:p w14:paraId="47FBF72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25" w:type="dxa"/>
            <w:vMerge w:val="restart"/>
            <w:tcBorders>
              <w:top w:val="single" w:color="auto" w:sz="4" w:space="0"/>
              <w:left w:val="single" w:color="auto" w:sz="4" w:space="0"/>
              <w:bottom w:val="single" w:color="auto" w:sz="4" w:space="0"/>
              <w:right w:val="single" w:color="auto" w:sz="4" w:space="0"/>
            </w:tcBorders>
            <w:noWrap w:val="0"/>
            <w:vAlign w:val="center"/>
          </w:tcPr>
          <w:p w14:paraId="4EFEA71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AF6A6D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立案查处环境违法行为</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1007A2E">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35起</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1550298">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39起</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6767DEC2">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426A791">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64040B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09D2EC6">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29C11204">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192D4B59">
            <w:pPr>
              <w:spacing w:line="240" w:lineRule="exact"/>
              <w:jc w:val="left"/>
              <w:rPr>
                <w:rFonts w:hint="eastAsia" w:ascii="仿宋_GB2312" w:hAnsi="仿宋_GB2312" w:eastAsia="仿宋_GB2312" w:cs="仿宋_GB2312"/>
                <w:color w:val="000000"/>
                <w:sz w:val="20"/>
                <w:szCs w:val="20"/>
                <w:highlight w:val="none"/>
              </w:rPr>
            </w:pPr>
          </w:p>
        </w:tc>
        <w:tc>
          <w:tcPr>
            <w:tcW w:w="1025" w:type="dxa"/>
            <w:vMerge w:val="continue"/>
            <w:tcBorders>
              <w:top w:val="single" w:color="auto" w:sz="4" w:space="0"/>
              <w:left w:val="single" w:color="auto" w:sz="4" w:space="0"/>
              <w:bottom w:val="single" w:color="auto" w:sz="4" w:space="0"/>
              <w:right w:val="single" w:color="auto" w:sz="4" w:space="0"/>
            </w:tcBorders>
            <w:noWrap w:val="0"/>
            <w:vAlign w:val="center"/>
          </w:tcPr>
          <w:p w14:paraId="15ABEE6F">
            <w:pPr>
              <w:spacing w:line="240" w:lineRule="exact"/>
              <w:jc w:val="center"/>
              <w:rPr>
                <w:rFonts w:hint="eastAsia" w:ascii="仿宋_GB2312" w:hAnsi="仿宋_GB2312" w:eastAsia="仿宋_GB2312" w:cs="仿宋_GB2312"/>
                <w:color w:val="000000"/>
                <w:sz w:val="20"/>
                <w:szCs w:val="20"/>
                <w:highlight w:val="none"/>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EC733D2">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重点监管单位规范化环境管理</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120F624B">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宋体" w:eastAsia="仿宋_GB2312" w:cs="仿宋_GB2312"/>
                <w:i w:val="0"/>
                <w:iCs w:val="0"/>
                <w:color w:val="000000"/>
                <w:kern w:val="0"/>
                <w:sz w:val="20"/>
                <w:szCs w:val="20"/>
                <w:u w:val="none"/>
                <w:lang w:val="en-US" w:eastAsia="zh-CN" w:bidi="ar"/>
              </w:rPr>
              <w:t>无重大污染事件发生</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1DB02C4">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0发生</w:t>
            </w:r>
          </w:p>
        </w:tc>
        <w:tc>
          <w:tcPr>
            <w:tcW w:w="7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E59514">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87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012ADD">
            <w:pPr>
              <w:widowControl/>
              <w:spacing w:line="240" w:lineRule="exact"/>
              <w:jc w:val="center"/>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3D6D3F22">
            <w:pPr>
              <w:widowControl/>
              <w:spacing w:line="240" w:lineRule="exact"/>
              <w:jc w:val="left"/>
              <w:rPr>
                <w:rFonts w:hint="eastAsia" w:ascii="仿宋_GB2312" w:hAnsi="仿宋_GB2312" w:eastAsia="仿宋_GB2312" w:cs="仿宋_GB2312"/>
                <w:color w:val="000000"/>
                <w:sz w:val="20"/>
                <w:szCs w:val="20"/>
                <w:highlight w:val="none"/>
              </w:rPr>
            </w:pPr>
          </w:p>
        </w:tc>
      </w:tr>
      <w:tr w14:paraId="78E1ACB2">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2569849D">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46466264">
            <w:pPr>
              <w:spacing w:line="240" w:lineRule="exact"/>
              <w:jc w:val="left"/>
              <w:rPr>
                <w:rFonts w:hint="eastAsia" w:ascii="仿宋_GB2312" w:hAnsi="仿宋_GB2312" w:eastAsia="仿宋_GB2312" w:cs="仿宋_GB2312"/>
                <w:color w:val="000000"/>
                <w:sz w:val="20"/>
                <w:szCs w:val="20"/>
                <w:highlight w:val="none"/>
              </w:rPr>
            </w:pPr>
          </w:p>
        </w:tc>
        <w:tc>
          <w:tcPr>
            <w:tcW w:w="1025" w:type="dxa"/>
            <w:vMerge w:val="restart"/>
            <w:tcBorders>
              <w:top w:val="single" w:color="auto" w:sz="4" w:space="0"/>
              <w:left w:val="single" w:color="auto" w:sz="4" w:space="0"/>
              <w:right w:val="single" w:color="auto" w:sz="4" w:space="0"/>
            </w:tcBorders>
            <w:noWrap w:val="0"/>
            <w:vAlign w:val="center"/>
          </w:tcPr>
          <w:p w14:paraId="71346FD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9F32B0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空气质量优良率</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E8D0CF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90</w:t>
            </w:r>
            <w:r>
              <w:rPr>
                <w:rFonts w:hint="eastAsia" w:ascii="仿宋_GB2312" w:hAnsi="仿宋_GB2312" w:eastAsia="仿宋_GB2312" w:cs="仿宋_GB2312"/>
                <w:color w:val="000000"/>
                <w:sz w:val="20"/>
                <w:szCs w:val="20"/>
              </w:rPr>
              <w:t>%</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E34EBF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92.4</w:t>
            </w:r>
            <w:r>
              <w:rPr>
                <w:rFonts w:hint="eastAsia" w:ascii="仿宋_GB2312" w:hAnsi="仿宋_GB2312" w:eastAsia="仿宋_GB2312" w:cs="仿宋_GB2312"/>
                <w:color w:val="000000"/>
                <w:sz w:val="20"/>
                <w:szCs w:val="20"/>
              </w:rPr>
              <w:t>%</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20056EF8">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E22B9EC">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3527601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11BE9CE">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3788F1C2">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050B5D7A">
            <w:pPr>
              <w:spacing w:line="240" w:lineRule="exact"/>
              <w:jc w:val="left"/>
              <w:rPr>
                <w:rFonts w:hint="eastAsia" w:ascii="仿宋_GB2312" w:hAnsi="仿宋_GB2312" w:eastAsia="仿宋_GB2312" w:cs="仿宋_GB2312"/>
                <w:color w:val="000000"/>
                <w:sz w:val="20"/>
                <w:szCs w:val="20"/>
                <w:highlight w:val="none"/>
              </w:rPr>
            </w:pPr>
          </w:p>
        </w:tc>
        <w:tc>
          <w:tcPr>
            <w:tcW w:w="1025" w:type="dxa"/>
            <w:vMerge w:val="continue"/>
            <w:tcBorders>
              <w:left w:val="single" w:color="auto" w:sz="4" w:space="0"/>
              <w:right w:val="single" w:color="auto" w:sz="4" w:space="0"/>
            </w:tcBorders>
            <w:noWrap w:val="0"/>
            <w:vAlign w:val="center"/>
          </w:tcPr>
          <w:p w14:paraId="24BF5262">
            <w:pPr>
              <w:widowControl/>
              <w:spacing w:line="240" w:lineRule="exact"/>
              <w:jc w:val="center"/>
              <w:rPr>
                <w:rFonts w:hint="eastAsia" w:ascii="仿宋_GB2312" w:hAnsi="仿宋_GB2312" w:eastAsia="仿宋_GB2312" w:cs="仿宋_GB2312"/>
                <w:color w:val="000000"/>
                <w:sz w:val="20"/>
                <w:szCs w:val="20"/>
                <w:highlight w:val="none"/>
              </w:rPr>
            </w:pPr>
          </w:p>
        </w:tc>
        <w:tc>
          <w:tcPr>
            <w:tcW w:w="1265" w:type="dxa"/>
            <w:tcBorders>
              <w:top w:val="single" w:color="auto" w:sz="4" w:space="0"/>
              <w:left w:val="single" w:color="auto" w:sz="4" w:space="0"/>
              <w:bottom w:val="single" w:color="auto" w:sz="4" w:space="0"/>
              <w:right w:val="single" w:color="auto" w:sz="4" w:space="0"/>
            </w:tcBorders>
            <w:noWrap w:val="0"/>
            <w:vAlign w:val="center"/>
          </w:tcPr>
          <w:p w14:paraId="0B7FE874">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集中式饮用水水源地水质达标率</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374FE762">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100</w:t>
            </w:r>
            <w:r>
              <w:rPr>
                <w:rFonts w:hint="eastAsia" w:ascii="仿宋_GB2312" w:hAnsi="仿宋_GB2312" w:eastAsia="仿宋_GB2312" w:cs="仿宋_GB2312"/>
                <w:color w:val="000000"/>
                <w:sz w:val="20"/>
                <w:szCs w:val="20"/>
                <w:lang w:val="en-US" w:eastAsia="zh-CN"/>
              </w:rPr>
              <w:t>%</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BC1C06E">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达标率稳定保持100%</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15F28063">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highlight w:val="none"/>
                <w:lang w:val="en-US" w:eastAsia="zh-CN"/>
              </w:rPr>
              <w:t>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2A8B804">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highlight w:val="none"/>
                <w:lang w:val="en-US" w:eastAsia="zh-CN"/>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A7F5181">
            <w:pPr>
              <w:widowControl/>
              <w:spacing w:line="240" w:lineRule="exact"/>
              <w:jc w:val="left"/>
              <w:rPr>
                <w:rFonts w:hint="eastAsia" w:ascii="仿宋_GB2312" w:hAnsi="仿宋_GB2312" w:eastAsia="仿宋_GB2312" w:cs="仿宋_GB2312"/>
                <w:color w:val="000000"/>
                <w:sz w:val="20"/>
                <w:szCs w:val="20"/>
                <w:highlight w:val="none"/>
              </w:rPr>
            </w:pPr>
          </w:p>
        </w:tc>
      </w:tr>
      <w:tr w14:paraId="6307EF7F">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773810A6">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A2C7658">
            <w:pPr>
              <w:spacing w:line="240" w:lineRule="exact"/>
              <w:jc w:val="left"/>
              <w:rPr>
                <w:rFonts w:hint="eastAsia" w:ascii="仿宋_GB2312" w:hAnsi="仿宋_GB2312" w:eastAsia="仿宋_GB2312" w:cs="仿宋_GB2312"/>
                <w:color w:val="000000"/>
                <w:sz w:val="20"/>
                <w:szCs w:val="20"/>
                <w:highlight w:val="none"/>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5687E99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6C05FF4">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水、大气、土壤污染防治目标任务</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7D5B49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lang w:val="en-US" w:eastAsia="zh-CN"/>
              </w:rPr>
              <w:t>年度</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0B83235">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lang w:val="en-US" w:eastAsia="zh-CN"/>
              </w:rPr>
              <w:t>年度</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73E58B93">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E3909E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B46F85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17E852C">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017F2C11">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372ADFD5">
            <w:pPr>
              <w:spacing w:line="240" w:lineRule="exact"/>
              <w:jc w:val="left"/>
              <w:rPr>
                <w:rFonts w:hint="eastAsia" w:ascii="仿宋_GB2312" w:hAnsi="仿宋_GB2312" w:eastAsia="仿宋_GB2312" w:cs="仿宋_GB2312"/>
                <w:color w:val="000000"/>
                <w:sz w:val="20"/>
                <w:szCs w:val="20"/>
                <w:highlight w:val="none"/>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082084E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9FC4244">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支出控制在预算内</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4452900">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w:t>
            </w:r>
            <w:r>
              <w:rPr>
                <w:rFonts w:hint="default" w:ascii="仿宋_GB2312" w:hAnsi="仿宋_GB2312" w:eastAsia="仿宋_GB2312" w:cs="仿宋_GB2312"/>
                <w:sz w:val="20"/>
                <w:szCs w:val="20"/>
                <w:highlight w:val="none"/>
                <w:lang w:val="en-US"/>
              </w:rPr>
              <w:t>3435.84</w:t>
            </w:r>
            <w:r>
              <w:rPr>
                <w:rFonts w:hint="eastAsia" w:ascii="仿宋_GB2312" w:hAnsi="仿宋_GB2312" w:eastAsia="仿宋_GB2312" w:cs="仿宋_GB2312"/>
                <w:color w:val="000000"/>
                <w:sz w:val="20"/>
                <w:szCs w:val="20"/>
                <w:lang w:val="en-US" w:eastAsia="zh-CN"/>
              </w:rPr>
              <w:t>万元</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BFAFBA7">
            <w:pPr>
              <w:widowControl/>
              <w:spacing w:line="240" w:lineRule="exact"/>
              <w:jc w:val="center"/>
              <w:rPr>
                <w:rFonts w:hint="default" w:ascii="仿宋_GB2312" w:hAnsi="仿宋_GB2312" w:eastAsia="仿宋_GB2312" w:cs="仿宋_GB2312"/>
                <w:color w:val="000000"/>
                <w:sz w:val="20"/>
                <w:szCs w:val="20"/>
                <w:lang w:val="en-US" w:eastAsia="zh-CN"/>
              </w:rPr>
            </w:pPr>
            <w:r>
              <w:rPr>
                <w:rFonts w:hint="default" w:ascii="仿宋_GB2312" w:hAnsi="仿宋_GB2312" w:eastAsia="仿宋_GB2312" w:cs="仿宋_GB2312"/>
                <w:sz w:val="20"/>
                <w:szCs w:val="20"/>
                <w:highlight w:val="none"/>
                <w:lang w:val="en-US" w:eastAsia="zh-CN"/>
              </w:rPr>
              <w:t>2996.32</w:t>
            </w:r>
            <w:r>
              <w:rPr>
                <w:rFonts w:hint="eastAsia" w:ascii="仿宋_GB2312" w:hAnsi="仿宋_GB2312" w:eastAsia="仿宋_GB2312" w:cs="仿宋_GB2312"/>
                <w:color w:val="000000"/>
                <w:sz w:val="20"/>
                <w:szCs w:val="20"/>
                <w:lang w:val="en-US" w:eastAsia="zh-CN"/>
              </w:rPr>
              <w:t>万元</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010DC18A">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04BCB14F">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57D1531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0EBE159">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270217B6">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14:paraId="6E56EA3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AC883B4">
            <w:pPr>
              <w:widowControl/>
              <w:spacing w:line="240" w:lineRule="exact"/>
              <w:jc w:val="left"/>
              <w:rPr>
                <w:rFonts w:hint="eastAsia" w:ascii="仿宋_GB2312" w:hAnsi="仿宋_GB2312" w:eastAsia="仿宋_GB2312" w:cs="仿宋_GB2312"/>
                <w:color w:val="000000"/>
                <w:sz w:val="20"/>
                <w:szCs w:val="20"/>
                <w:highlight w:val="none"/>
              </w:rPr>
            </w:pPr>
          </w:p>
          <w:p w14:paraId="7BF59B5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F0209C2">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25" w:type="dxa"/>
            <w:tcBorders>
              <w:top w:val="single" w:color="auto" w:sz="4" w:space="0"/>
              <w:left w:val="single" w:color="auto" w:sz="4" w:space="0"/>
              <w:bottom w:val="single" w:color="auto" w:sz="4" w:space="0"/>
              <w:right w:val="single" w:color="auto" w:sz="4" w:space="0"/>
            </w:tcBorders>
            <w:noWrap w:val="0"/>
            <w:vAlign w:val="center"/>
          </w:tcPr>
          <w:p w14:paraId="49D0CB1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EC3867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55B85928">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宋体" w:eastAsia="仿宋_GB2312" w:cs="仿宋_GB2312"/>
                <w:i w:val="0"/>
                <w:iCs w:val="0"/>
                <w:color w:val="000000"/>
                <w:kern w:val="0"/>
                <w:sz w:val="20"/>
                <w:szCs w:val="20"/>
                <w:u w:val="none"/>
                <w:lang w:val="en-US" w:eastAsia="zh-CN" w:bidi="ar"/>
              </w:rPr>
              <w:t>实现节能减排，减少环保治理经费</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5768A5C">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经济平稳发展</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1F0D608">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平稳发展</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53D87143">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3C974856">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E8A746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CC7289">
        <w:tblPrEx>
          <w:tblCellMar>
            <w:top w:w="0" w:type="dxa"/>
            <w:left w:w="108" w:type="dxa"/>
            <w:bottom w:w="0" w:type="dxa"/>
            <w:right w:w="108" w:type="dxa"/>
          </w:tblCellMar>
        </w:tblPrEx>
        <w:trPr>
          <w:trHeight w:val="500" w:hRule="atLeast"/>
          <w:jc w:val="center"/>
        </w:trPr>
        <w:tc>
          <w:tcPr>
            <w:tcW w:w="1074" w:type="dxa"/>
            <w:vMerge w:val="continue"/>
            <w:tcBorders>
              <w:left w:val="single" w:color="auto" w:sz="4" w:space="0"/>
              <w:right w:val="single" w:color="auto" w:sz="4" w:space="0"/>
            </w:tcBorders>
            <w:noWrap w:val="0"/>
            <w:vAlign w:val="center"/>
          </w:tcPr>
          <w:p w14:paraId="74B7E583">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5D7677F9">
            <w:pPr>
              <w:spacing w:line="240" w:lineRule="exact"/>
              <w:jc w:val="left"/>
              <w:rPr>
                <w:rFonts w:hint="eastAsia" w:ascii="仿宋_GB2312" w:hAnsi="仿宋_GB2312" w:eastAsia="仿宋_GB2312" w:cs="仿宋_GB2312"/>
                <w:color w:val="000000"/>
                <w:sz w:val="20"/>
                <w:szCs w:val="20"/>
                <w:highlight w:val="none"/>
              </w:rPr>
            </w:pPr>
          </w:p>
        </w:tc>
        <w:tc>
          <w:tcPr>
            <w:tcW w:w="1025" w:type="dxa"/>
            <w:tcBorders>
              <w:top w:val="single" w:color="auto" w:sz="4" w:space="0"/>
              <w:left w:val="single" w:color="auto" w:sz="4" w:space="0"/>
              <w:right w:val="single" w:color="auto" w:sz="4" w:space="0"/>
            </w:tcBorders>
            <w:noWrap w:val="0"/>
            <w:vAlign w:val="center"/>
          </w:tcPr>
          <w:p w14:paraId="1885180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44D0E28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65" w:type="dxa"/>
            <w:tcBorders>
              <w:top w:val="single" w:color="auto" w:sz="4" w:space="0"/>
              <w:left w:val="single" w:color="auto" w:sz="4" w:space="0"/>
              <w:right w:val="single" w:color="auto" w:sz="4" w:space="0"/>
            </w:tcBorders>
            <w:noWrap w:val="0"/>
            <w:vAlign w:val="center"/>
          </w:tcPr>
          <w:p w14:paraId="47BC9059">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信访处理率</w:t>
            </w:r>
          </w:p>
        </w:tc>
        <w:tc>
          <w:tcPr>
            <w:tcW w:w="1306" w:type="dxa"/>
            <w:tcBorders>
              <w:top w:val="single" w:color="auto" w:sz="4" w:space="0"/>
              <w:left w:val="single" w:color="auto" w:sz="4" w:space="0"/>
              <w:right w:val="single" w:color="auto" w:sz="4" w:space="0"/>
            </w:tcBorders>
            <w:noWrap w:val="0"/>
            <w:vAlign w:val="center"/>
          </w:tcPr>
          <w:p w14:paraId="36040911">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100</w:t>
            </w:r>
            <w:r>
              <w:rPr>
                <w:rFonts w:hint="eastAsia" w:ascii="仿宋_GB2312" w:hAnsi="仿宋_GB2312" w:eastAsia="仿宋_GB2312" w:cs="仿宋_GB2312"/>
                <w:color w:val="000000"/>
                <w:sz w:val="20"/>
                <w:szCs w:val="20"/>
                <w:lang w:val="en-US" w:eastAsia="zh-CN"/>
              </w:rPr>
              <w:t>%</w:t>
            </w:r>
          </w:p>
        </w:tc>
        <w:tc>
          <w:tcPr>
            <w:tcW w:w="1316" w:type="dxa"/>
            <w:tcBorders>
              <w:top w:val="single" w:color="auto" w:sz="4" w:space="0"/>
              <w:left w:val="single" w:color="auto" w:sz="4" w:space="0"/>
              <w:right w:val="single" w:color="auto" w:sz="4" w:space="0"/>
            </w:tcBorders>
            <w:noWrap w:val="0"/>
            <w:vAlign w:val="center"/>
          </w:tcPr>
          <w:p w14:paraId="7E12EDFD">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100%</w:t>
            </w:r>
          </w:p>
        </w:tc>
        <w:tc>
          <w:tcPr>
            <w:tcW w:w="713" w:type="dxa"/>
            <w:tcBorders>
              <w:top w:val="single" w:color="auto" w:sz="4" w:space="0"/>
              <w:left w:val="single" w:color="auto" w:sz="4" w:space="0"/>
              <w:right w:val="single" w:color="auto" w:sz="4" w:space="0"/>
            </w:tcBorders>
            <w:noWrap w:val="0"/>
            <w:vAlign w:val="center"/>
          </w:tcPr>
          <w:p w14:paraId="46F39F60">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872" w:type="dxa"/>
            <w:tcBorders>
              <w:top w:val="single" w:color="auto" w:sz="4" w:space="0"/>
              <w:left w:val="single" w:color="auto" w:sz="4" w:space="0"/>
              <w:right w:val="single" w:color="auto" w:sz="4" w:space="0"/>
            </w:tcBorders>
            <w:noWrap w:val="0"/>
            <w:vAlign w:val="center"/>
          </w:tcPr>
          <w:p w14:paraId="24B79B4B">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BCAA96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AB737E3">
        <w:tblPrEx>
          <w:tblCellMar>
            <w:top w:w="0" w:type="dxa"/>
            <w:left w:w="108" w:type="dxa"/>
            <w:bottom w:w="0" w:type="dxa"/>
            <w:right w:w="108" w:type="dxa"/>
          </w:tblCellMar>
        </w:tblPrEx>
        <w:trPr>
          <w:jc w:val="center"/>
        </w:trPr>
        <w:tc>
          <w:tcPr>
            <w:tcW w:w="1074" w:type="dxa"/>
            <w:vMerge w:val="continue"/>
            <w:tcBorders>
              <w:left w:val="single" w:color="auto" w:sz="4" w:space="0"/>
              <w:right w:val="single" w:color="auto" w:sz="4" w:space="0"/>
            </w:tcBorders>
            <w:noWrap w:val="0"/>
            <w:vAlign w:val="center"/>
          </w:tcPr>
          <w:p w14:paraId="544D6C7E">
            <w:pPr>
              <w:spacing w:line="240" w:lineRule="exact"/>
              <w:jc w:val="left"/>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51904FB2">
            <w:pPr>
              <w:spacing w:line="240" w:lineRule="exact"/>
              <w:jc w:val="left"/>
              <w:rPr>
                <w:rFonts w:hint="eastAsia" w:ascii="仿宋_GB2312" w:hAnsi="仿宋_GB2312" w:eastAsia="仿宋_GB2312" w:cs="仿宋_GB2312"/>
                <w:color w:val="000000"/>
                <w:sz w:val="20"/>
                <w:szCs w:val="20"/>
                <w:highlight w:val="none"/>
              </w:rPr>
            </w:pPr>
          </w:p>
        </w:tc>
        <w:tc>
          <w:tcPr>
            <w:tcW w:w="1025" w:type="dxa"/>
            <w:tcBorders>
              <w:top w:val="single" w:color="auto" w:sz="4" w:space="0"/>
              <w:left w:val="single" w:color="auto" w:sz="4" w:space="0"/>
              <w:right w:val="single" w:color="auto" w:sz="4" w:space="0"/>
            </w:tcBorders>
            <w:noWrap w:val="0"/>
            <w:vAlign w:val="center"/>
          </w:tcPr>
          <w:p w14:paraId="0480365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1930A8C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2539FB05">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PM2.5年平均浓度</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75F9F7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≤35ug/m³</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AAD856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29.07μg/m³</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38145E4A">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707EFB7">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10C8685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3504DDB">
        <w:tblPrEx>
          <w:tblCellMar>
            <w:top w:w="0" w:type="dxa"/>
            <w:left w:w="108" w:type="dxa"/>
            <w:bottom w:w="0" w:type="dxa"/>
            <w:right w:w="108" w:type="dxa"/>
          </w:tblCellMar>
        </w:tblPrEx>
        <w:trPr>
          <w:trHeight w:val="290" w:hRule="atLeast"/>
          <w:jc w:val="center"/>
        </w:trPr>
        <w:tc>
          <w:tcPr>
            <w:tcW w:w="1074" w:type="dxa"/>
            <w:vMerge w:val="continue"/>
            <w:tcBorders>
              <w:left w:val="single" w:color="auto" w:sz="4" w:space="0"/>
              <w:right w:val="single" w:color="auto" w:sz="4" w:space="0"/>
            </w:tcBorders>
            <w:noWrap w:val="0"/>
            <w:vAlign w:val="center"/>
          </w:tcPr>
          <w:p w14:paraId="5BEC8955">
            <w:pPr>
              <w:widowControl/>
              <w:spacing w:line="240" w:lineRule="exact"/>
              <w:jc w:val="center"/>
              <w:rPr>
                <w:rFonts w:hint="eastAsia" w:ascii="仿宋_GB2312" w:hAnsi="仿宋_GB2312" w:eastAsia="仿宋_GB2312" w:cs="仿宋_GB2312"/>
                <w:color w:val="000000"/>
                <w:sz w:val="20"/>
                <w:szCs w:val="20"/>
                <w:highlight w:val="none"/>
              </w:rPr>
            </w:pPr>
          </w:p>
        </w:tc>
        <w:tc>
          <w:tcPr>
            <w:tcW w:w="1074" w:type="dxa"/>
            <w:vMerge w:val="continue"/>
            <w:tcBorders>
              <w:top w:val="single" w:color="auto" w:sz="4" w:space="0"/>
              <w:left w:val="single" w:color="auto" w:sz="4" w:space="0"/>
              <w:bottom w:val="single" w:color="auto" w:sz="4" w:space="0"/>
              <w:right w:val="single" w:color="auto" w:sz="4" w:space="0"/>
            </w:tcBorders>
            <w:noWrap w:val="0"/>
            <w:vAlign w:val="center"/>
          </w:tcPr>
          <w:p w14:paraId="2898E1B6">
            <w:pPr>
              <w:widowControl/>
              <w:spacing w:line="240" w:lineRule="exact"/>
              <w:jc w:val="left"/>
              <w:rPr>
                <w:rFonts w:hint="eastAsia" w:ascii="仿宋_GB2312" w:hAnsi="仿宋_GB2312" w:eastAsia="仿宋_GB2312" w:cs="仿宋_GB2312"/>
                <w:color w:val="000000"/>
                <w:sz w:val="20"/>
                <w:szCs w:val="20"/>
                <w:highlight w:val="none"/>
              </w:rPr>
            </w:pPr>
          </w:p>
        </w:tc>
        <w:tc>
          <w:tcPr>
            <w:tcW w:w="1025" w:type="dxa"/>
            <w:tcBorders>
              <w:top w:val="single" w:color="auto" w:sz="4" w:space="0"/>
              <w:left w:val="single" w:color="auto" w:sz="4" w:space="0"/>
              <w:bottom w:val="single" w:color="auto" w:sz="4" w:space="0"/>
              <w:right w:val="single" w:color="auto" w:sz="4" w:space="0"/>
            </w:tcBorders>
            <w:noWrap w:val="0"/>
            <w:vAlign w:val="center"/>
          </w:tcPr>
          <w:p w14:paraId="23E3277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48C5546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常态化执行环境监察、监测任务</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592C32D4">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社会可持续发展良好</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8BDFE04">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效益明显</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110973E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5</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3BFA8678">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5</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008AF18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BC2A4C9">
        <w:tblPrEx>
          <w:tblCellMar>
            <w:top w:w="0" w:type="dxa"/>
            <w:left w:w="108" w:type="dxa"/>
            <w:bottom w:w="0" w:type="dxa"/>
            <w:right w:w="108" w:type="dxa"/>
          </w:tblCellMar>
        </w:tblPrEx>
        <w:trPr>
          <w:trHeight w:val="330" w:hRule="atLeast"/>
          <w:jc w:val="center"/>
        </w:trPr>
        <w:tc>
          <w:tcPr>
            <w:tcW w:w="1074" w:type="dxa"/>
            <w:vMerge w:val="continue"/>
            <w:tcBorders>
              <w:left w:val="single" w:color="auto" w:sz="4" w:space="0"/>
              <w:right w:val="single" w:color="auto" w:sz="4" w:space="0"/>
            </w:tcBorders>
            <w:noWrap w:val="0"/>
            <w:vAlign w:val="center"/>
          </w:tcPr>
          <w:p w14:paraId="0A1B1055">
            <w:pPr>
              <w:spacing w:line="240" w:lineRule="exact"/>
              <w:jc w:val="left"/>
              <w:rPr>
                <w:rFonts w:hint="eastAsia" w:ascii="仿宋_GB2312" w:hAnsi="仿宋_GB2312" w:eastAsia="仿宋_GB2312" w:cs="仿宋_GB2312"/>
                <w:color w:val="000000"/>
                <w:sz w:val="20"/>
                <w:szCs w:val="20"/>
                <w:highlight w:val="none"/>
              </w:rPr>
            </w:pPr>
          </w:p>
        </w:tc>
        <w:tc>
          <w:tcPr>
            <w:tcW w:w="1074" w:type="dxa"/>
            <w:tcBorders>
              <w:top w:val="single" w:color="auto" w:sz="4" w:space="0"/>
              <w:left w:val="single" w:color="auto" w:sz="4" w:space="0"/>
              <w:right w:val="single" w:color="auto" w:sz="4" w:space="0"/>
            </w:tcBorders>
            <w:noWrap w:val="0"/>
            <w:vAlign w:val="center"/>
          </w:tcPr>
          <w:p w14:paraId="72437FE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37CC21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073F17C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25" w:type="dxa"/>
            <w:tcBorders>
              <w:top w:val="single" w:color="auto" w:sz="4" w:space="0"/>
              <w:left w:val="single" w:color="auto" w:sz="4" w:space="0"/>
              <w:right w:val="single" w:color="auto" w:sz="4" w:space="0"/>
            </w:tcBorders>
            <w:noWrap w:val="0"/>
            <w:vAlign w:val="center"/>
          </w:tcPr>
          <w:p w14:paraId="2847DA9C">
            <w:pPr>
              <w:widowControl/>
              <w:tabs>
                <w:tab w:val="left" w:pos="536"/>
              </w:tabs>
              <w:spacing w:line="240" w:lineRule="exact"/>
              <w:jc w:val="left"/>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服务对象满意度指标</w:t>
            </w:r>
          </w:p>
        </w:tc>
        <w:tc>
          <w:tcPr>
            <w:tcW w:w="1265" w:type="dxa"/>
            <w:tcBorders>
              <w:top w:val="single" w:color="auto" w:sz="4" w:space="0"/>
              <w:left w:val="single" w:color="auto" w:sz="4" w:space="0"/>
              <w:bottom w:val="single" w:color="auto" w:sz="4" w:space="0"/>
              <w:right w:val="single" w:color="auto" w:sz="4" w:space="0"/>
            </w:tcBorders>
            <w:noWrap w:val="0"/>
            <w:vAlign w:val="center"/>
          </w:tcPr>
          <w:p w14:paraId="3497F19F">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群众对环境质量改善的满意度</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7F3C5002">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≥95%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2656193">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val="en-US" w:eastAsia="zh-CN"/>
              </w:rPr>
              <w:t>95</w:t>
            </w:r>
            <w:r>
              <w:rPr>
                <w:rFonts w:hint="eastAsia" w:ascii="仿宋_GB2312" w:hAnsi="仿宋_GB2312" w:eastAsia="仿宋_GB2312" w:cs="仿宋_GB2312"/>
                <w:color w:val="000000"/>
                <w:sz w:val="20"/>
                <w:szCs w:val="20"/>
              </w:rPr>
              <w:t>%</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075EC35C">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9D239BF">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10</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AD50F3B">
            <w:pPr>
              <w:widowControl/>
              <w:spacing w:line="240" w:lineRule="exact"/>
              <w:jc w:val="left"/>
              <w:rPr>
                <w:rFonts w:hint="eastAsia" w:ascii="仿宋_GB2312" w:hAnsi="仿宋_GB2312" w:eastAsia="仿宋_GB2312" w:cs="仿宋_GB2312"/>
                <w:color w:val="000000"/>
                <w:sz w:val="20"/>
                <w:szCs w:val="20"/>
                <w:highlight w:val="none"/>
              </w:rPr>
            </w:pPr>
          </w:p>
        </w:tc>
      </w:tr>
      <w:tr w14:paraId="0825072E">
        <w:tblPrEx>
          <w:tblCellMar>
            <w:top w:w="0" w:type="dxa"/>
            <w:left w:w="108" w:type="dxa"/>
            <w:bottom w:w="0" w:type="dxa"/>
            <w:right w:w="108" w:type="dxa"/>
          </w:tblCellMar>
        </w:tblPrEx>
        <w:trPr>
          <w:trHeight w:val="270" w:hRule="atLeast"/>
          <w:jc w:val="center"/>
        </w:trPr>
        <w:tc>
          <w:tcPr>
            <w:tcW w:w="7060" w:type="dxa"/>
            <w:gridSpan w:val="6"/>
            <w:tcBorders>
              <w:top w:val="single" w:color="auto" w:sz="4" w:space="0"/>
              <w:left w:val="single" w:color="auto" w:sz="4" w:space="0"/>
              <w:bottom w:val="single" w:color="auto" w:sz="4" w:space="0"/>
              <w:right w:val="single" w:color="000000" w:sz="4" w:space="0"/>
            </w:tcBorders>
            <w:noWrap w:val="0"/>
            <w:vAlign w:val="center"/>
          </w:tcPr>
          <w:p w14:paraId="4EA969D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3" w:type="dxa"/>
            <w:tcBorders>
              <w:top w:val="nil"/>
              <w:left w:val="nil"/>
              <w:bottom w:val="single" w:color="auto" w:sz="4" w:space="0"/>
              <w:right w:val="single" w:color="auto" w:sz="4" w:space="0"/>
            </w:tcBorders>
            <w:noWrap w:val="0"/>
            <w:vAlign w:val="center"/>
          </w:tcPr>
          <w:p w14:paraId="135C3F9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2" w:type="dxa"/>
            <w:tcBorders>
              <w:top w:val="nil"/>
              <w:left w:val="nil"/>
              <w:bottom w:val="single" w:color="auto" w:sz="4" w:space="0"/>
              <w:right w:val="single" w:color="auto" w:sz="4" w:space="0"/>
            </w:tcBorders>
            <w:noWrap w:val="0"/>
            <w:vAlign w:val="center"/>
          </w:tcPr>
          <w:p w14:paraId="1862701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98.72</w:t>
            </w:r>
          </w:p>
        </w:tc>
        <w:tc>
          <w:tcPr>
            <w:tcW w:w="1434" w:type="dxa"/>
            <w:tcBorders>
              <w:top w:val="nil"/>
              <w:left w:val="nil"/>
              <w:bottom w:val="single" w:color="auto" w:sz="4" w:space="0"/>
              <w:right w:val="single" w:color="auto" w:sz="4" w:space="0"/>
            </w:tcBorders>
            <w:noWrap w:val="0"/>
            <w:vAlign w:val="center"/>
          </w:tcPr>
          <w:p w14:paraId="1DB8229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7D2C6EBF">
      <w:pPr>
        <w:widowControl/>
        <w:spacing w:line="600" w:lineRule="exact"/>
        <w:jc w:val="left"/>
        <w:rPr>
          <w:rFonts w:hint="eastAsia" w:ascii="Times New Roman" w:hAnsi="Times New Roman" w:eastAsia="黑体" w:cs="Times New Roman"/>
          <w:sz w:val="32"/>
          <w:szCs w:val="32"/>
          <w:highlight w:val="none"/>
          <w:lang w:eastAsia="zh-CN"/>
        </w:rPr>
      </w:pPr>
      <w:r>
        <w:rPr>
          <w:rFonts w:hint="default" w:ascii="Times New Roman" w:hAnsi="Times New Roman" w:eastAsia="仿宋_GB2312" w:cs="Times New Roman"/>
          <w:sz w:val="22"/>
          <w:szCs w:val="22"/>
          <w:highlight w:val="none"/>
        </w:rPr>
        <w:t xml:space="preserve">填表人：      填报日期：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4724C2D4">
      <w:pPr>
        <w:widowControl/>
        <w:spacing w:line="600" w:lineRule="exact"/>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lang w:eastAsia="zh-CN"/>
        </w:rPr>
        <w:t>2025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5"/>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14:paraId="30E157E4">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ED424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496B41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251FA7A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rPr>
              <w:t>环境监测、监控及监察能力建设</w:t>
            </w:r>
          </w:p>
        </w:tc>
      </w:tr>
      <w:tr w14:paraId="4E2C1AB7">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32A76B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652DFBC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岳阳市生态环境局</w:t>
            </w:r>
          </w:p>
        </w:tc>
        <w:tc>
          <w:tcPr>
            <w:tcW w:w="1134" w:type="dxa"/>
            <w:tcBorders>
              <w:top w:val="single" w:color="auto" w:sz="4" w:space="0"/>
              <w:left w:val="nil"/>
              <w:bottom w:val="single" w:color="auto" w:sz="4" w:space="0"/>
              <w:right w:val="single" w:color="000000" w:sz="4" w:space="0"/>
            </w:tcBorders>
            <w:noWrap w:val="0"/>
            <w:vAlign w:val="center"/>
          </w:tcPr>
          <w:p w14:paraId="411AE0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6196F0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岳阳市生态环境局岳阳县分局</w:t>
            </w:r>
            <w:r>
              <w:rPr>
                <w:rFonts w:hint="eastAsia" w:ascii="仿宋_GB2312" w:hAnsi="仿宋_GB2312" w:eastAsia="仿宋_GB2312" w:cs="仿宋_GB2312"/>
                <w:color w:val="000000"/>
                <w:sz w:val="20"/>
                <w:szCs w:val="20"/>
                <w:highlight w:val="none"/>
              </w:rPr>
              <w:t>　</w:t>
            </w:r>
          </w:p>
        </w:tc>
      </w:tr>
      <w:tr w14:paraId="2E56DBE3">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F8B22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60" w:type="dxa"/>
            <w:gridSpan w:val="2"/>
            <w:tcBorders>
              <w:top w:val="nil"/>
              <w:left w:val="nil"/>
              <w:bottom w:val="single" w:color="auto" w:sz="4" w:space="0"/>
              <w:right w:val="single" w:color="auto" w:sz="4" w:space="0"/>
            </w:tcBorders>
            <w:noWrap w:val="0"/>
            <w:vAlign w:val="center"/>
          </w:tcPr>
          <w:p w14:paraId="7F67A2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24" w:type="dxa"/>
            <w:tcBorders>
              <w:top w:val="nil"/>
              <w:left w:val="nil"/>
              <w:bottom w:val="single" w:color="auto" w:sz="4" w:space="0"/>
              <w:right w:val="single" w:color="auto" w:sz="4" w:space="0"/>
            </w:tcBorders>
            <w:noWrap w:val="0"/>
            <w:vAlign w:val="center"/>
          </w:tcPr>
          <w:p w14:paraId="7C7C1D9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0E15B5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E5E46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0EB489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1D98F79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3B6375D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2C88E2F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97638C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05C96C4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3CDB627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BAEDC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038F4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24" w:type="dxa"/>
            <w:tcBorders>
              <w:top w:val="nil"/>
              <w:left w:val="nil"/>
              <w:bottom w:val="single" w:color="auto" w:sz="4" w:space="0"/>
              <w:right w:val="single" w:color="auto" w:sz="4" w:space="0"/>
            </w:tcBorders>
            <w:noWrap w:val="0"/>
            <w:vAlign w:val="center"/>
          </w:tcPr>
          <w:p w14:paraId="4E75FF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1134" w:type="dxa"/>
            <w:tcBorders>
              <w:top w:val="nil"/>
              <w:left w:val="nil"/>
              <w:bottom w:val="single" w:color="auto" w:sz="4" w:space="0"/>
              <w:right w:val="single" w:color="auto" w:sz="4" w:space="0"/>
            </w:tcBorders>
            <w:noWrap w:val="0"/>
            <w:vAlign w:val="center"/>
          </w:tcPr>
          <w:p w14:paraId="6A60D9E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highlight w:val="none"/>
                <w:lang w:val="en-US" w:eastAsia="zh-CN"/>
              </w:rPr>
              <w:t>288.00</w:t>
            </w:r>
          </w:p>
        </w:tc>
        <w:tc>
          <w:tcPr>
            <w:tcW w:w="1134" w:type="dxa"/>
            <w:tcBorders>
              <w:top w:val="nil"/>
              <w:left w:val="nil"/>
              <w:bottom w:val="single" w:color="auto" w:sz="4" w:space="0"/>
              <w:right w:val="single" w:color="auto" w:sz="4" w:space="0"/>
            </w:tcBorders>
            <w:noWrap w:val="0"/>
            <w:vAlign w:val="center"/>
          </w:tcPr>
          <w:p w14:paraId="3F2D210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sz w:val="20"/>
                <w:szCs w:val="20"/>
                <w:highlight w:val="none"/>
                <w:lang w:val="en-US" w:eastAsia="zh-CN"/>
              </w:rPr>
              <w:t>263.00</w:t>
            </w:r>
          </w:p>
        </w:tc>
        <w:tc>
          <w:tcPr>
            <w:tcW w:w="828" w:type="dxa"/>
            <w:tcBorders>
              <w:top w:val="nil"/>
              <w:left w:val="nil"/>
              <w:bottom w:val="single" w:color="auto" w:sz="4" w:space="0"/>
              <w:right w:val="single" w:color="auto" w:sz="4" w:space="0"/>
            </w:tcBorders>
            <w:noWrap w:val="0"/>
            <w:vAlign w:val="center"/>
          </w:tcPr>
          <w:p w14:paraId="315DF8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5CE1E5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91.32%</w:t>
            </w:r>
          </w:p>
        </w:tc>
        <w:tc>
          <w:tcPr>
            <w:tcW w:w="1418" w:type="dxa"/>
            <w:tcBorders>
              <w:top w:val="nil"/>
              <w:left w:val="nil"/>
              <w:bottom w:val="single" w:color="auto" w:sz="4" w:space="0"/>
              <w:right w:val="single" w:color="auto" w:sz="4" w:space="0"/>
            </w:tcBorders>
            <w:noWrap w:val="0"/>
            <w:vAlign w:val="center"/>
          </w:tcPr>
          <w:p w14:paraId="5651A8C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9.13</w:t>
            </w:r>
          </w:p>
        </w:tc>
      </w:tr>
      <w:tr w14:paraId="6C5DD52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817E6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4F238B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24" w:type="dxa"/>
            <w:tcBorders>
              <w:top w:val="nil"/>
              <w:left w:val="nil"/>
              <w:bottom w:val="single" w:color="auto" w:sz="4" w:space="0"/>
              <w:right w:val="single" w:color="auto" w:sz="4" w:space="0"/>
            </w:tcBorders>
            <w:noWrap w:val="0"/>
            <w:vAlign w:val="center"/>
          </w:tcPr>
          <w:p w14:paraId="2F375DF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0</w:t>
            </w:r>
          </w:p>
        </w:tc>
        <w:tc>
          <w:tcPr>
            <w:tcW w:w="1134" w:type="dxa"/>
            <w:tcBorders>
              <w:top w:val="nil"/>
              <w:left w:val="nil"/>
              <w:bottom w:val="single" w:color="auto" w:sz="4" w:space="0"/>
              <w:right w:val="single" w:color="auto" w:sz="4" w:space="0"/>
            </w:tcBorders>
            <w:noWrap w:val="0"/>
            <w:vAlign w:val="center"/>
          </w:tcPr>
          <w:p w14:paraId="13D8E6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auto"/>
                <w:kern w:val="0"/>
                <w:sz w:val="20"/>
                <w:szCs w:val="20"/>
                <w:highlight w:val="none"/>
                <w:lang w:val="en-US" w:eastAsia="zh-CN" w:bidi="ar-SA"/>
              </w:rPr>
              <w:t>288.00</w:t>
            </w:r>
          </w:p>
        </w:tc>
        <w:tc>
          <w:tcPr>
            <w:tcW w:w="1134" w:type="dxa"/>
            <w:tcBorders>
              <w:top w:val="nil"/>
              <w:left w:val="nil"/>
              <w:bottom w:val="single" w:color="auto" w:sz="4" w:space="0"/>
              <w:right w:val="single" w:color="auto" w:sz="4" w:space="0"/>
            </w:tcBorders>
            <w:noWrap w:val="0"/>
            <w:vAlign w:val="center"/>
          </w:tcPr>
          <w:p w14:paraId="570DA8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263.00</w:t>
            </w:r>
          </w:p>
        </w:tc>
        <w:tc>
          <w:tcPr>
            <w:tcW w:w="828" w:type="dxa"/>
            <w:tcBorders>
              <w:top w:val="nil"/>
              <w:left w:val="nil"/>
              <w:bottom w:val="single" w:color="auto" w:sz="4" w:space="0"/>
              <w:right w:val="single" w:color="auto" w:sz="4" w:space="0"/>
            </w:tcBorders>
            <w:noWrap w:val="0"/>
            <w:vAlign w:val="center"/>
          </w:tcPr>
          <w:p w14:paraId="6F7FABF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1B04103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31DE15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C1050E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B137B7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5AF50815">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24" w:type="dxa"/>
            <w:tcBorders>
              <w:top w:val="nil"/>
              <w:left w:val="nil"/>
              <w:bottom w:val="single" w:color="auto" w:sz="4" w:space="0"/>
              <w:right w:val="single" w:color="auto" w:sz="4" w:space="0"/>
            </w:tcBorders>
            <w:noWrap w:val="0"/>
            <w:vAlign w:val="center"/>
          </w:tcPr>
          <w:p w14:paraId="0D403CD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17E061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64ACE4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11F2CE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252D5FF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6E6A7D9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743949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D5F9A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2160" w:type="dxa"/>
            <w:gridSpan w:val="2"/>
            <w:tcBorders>
              <w:top w:val="nil"/>
              <w:left w:val="nil"/>
              <w:bottom w:val="single" w:color="auto" w:sz="4" w:space="0"/>
              <w:right w:val="single" w:color="auto" w:sz="4" w:space="0"/>
            </w:tcBorders>
            <w:noWrap w:val="0"/>
            <w:vAlign w:val="center"/>
          </w:tcPr>
          <w:p w14:paraId="16FF17A9">
            <w:pPr>
              <w:keepNext w:val="0"/>
              <w:keepLines w:val="0"/>
              <w:pageBreakBefore w:val="0"/>
              <w:widowControl/>
              <w:kinsoku/>
              <w:wordWrap/>
              <w:overflowPunct/>
              <w:topLinePunct w:val="0"/>
              <w:autoSpaceDE/>
              <w:autoSpaceDN/>
              <w:bidi w:val="0"/>
              <w:adjustRightInd/>
              <w:snapToGrid/>
              <w:spacing w:line="2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24" w:type="dxa"/>
            <w:tcBorders>
              <w:top w:val="nil"/>
              <w:left w:val="nil"/>
              <w:bottom w:val="single" w:color="auto" w:sz="4" w:space="0"/>
              <w:right w:val="single" w:color="auto" w:sz="4" w:space="0"/>
            </w:tcBorders>
            <w:noWrap w:val="0"/>
            <w:vAlign w:val="center"/>
          </w:tcPr>
          <w:p w14:paraId="36BB05B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2B8C2D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134" w:type="dxa"/>
            <w:tcBorders>
              <w:top w:val="nil"/>
              <w:left w:val="nil"/>
              <w:bottom w:val="single" w:color="auto" w:sz="4" w:space="0"/>
              <w:right w:val="single" w:color="auto" w:sz="4" w:space="0"/>
            </w:tcBorders>
            <w:noWrap w:val="0"/>
            <w:vAlign w:val="center"/>
          </w:tcPr>
          <w:p w14:paraId="7164BD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28" w:type="dxa"/>
            <w:tcBorders>
              <w:top w:val="nil"/>
              <w:left w:val="nil"/>
              <w:bottom w:val="single" w:color="auto" w:sz="4" w:space="0"/>
              <w:right w:val="single" w:color="auto" w:sz="4" w:space="0"/>
            </w:tcBorders>
            <w:noWrap w:val="0"/>
            <w:vAlign w:val="center"/>
          </w:tcPr>
          <w:p w14:paraId="3B2AFAF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nil"/>
              <w:left w:val="nil"/>
              <w:bottom w:val="single" w:color="auto" w:sz="4" w:space="0"/>
              <w:right w:val="single" w:color="auto" w:sz="4" w:space="0"/>
            </w:tcBorders>
            <w:noWrap w:val="0"/>
            <w:vAlign w:val="center"/>
          </w:tcPr>
          <w:p w14:paraId="339A17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18" w:type="dxa"/>
            <w:tcBorders>
              <w:top w:val="nil"/>
              <w:left w:val="nil"/>
              <w:bottom w:val="single" w:color="auto" w:sz="4" w:space="0"/>
              <w:right w:val="single" w:color="auto" w:sz="4" w:space="0"/>
            </w:tcBorders>
            <w:noWrap w:val="0"/>
            <w:vAlign w:val="center"/>
          </w:tcPr>
          <w:p w14:paraId="4645C0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F057AA4">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D5B96E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6B5D9C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36A07F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56EBC15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CB70E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7FC14B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承担落实全县减排目标责任，对全县环境保护工作实施统一监管，开展环境监测、环境监察、污染防治、核与辐射监管，以及生态保护和建设等工作。</w:t>
            </w:r>
          </w:p>
        </w:tc>
        <w:tc>
          <w:tcPr>
            <w:tcW w:w="4253" w:type="dxa"/>
            <w:gridSpan w:val="4"/>
            <w:tcBorders>
              <w:top w:val="single" w:color="auto" w:sz="4" w:space="0"/>
              <w:left w:val="nil"/>
              <w:bottom w:val="single" w:color="auto" w:sz="4" w:space="0"/>
              <w:right w:val="single" w:color="auto" w:sz="4" w:space="0"/>
            </w:tcBorders>
            <w:noWrap w:val="0"/>
            <w:vAlign w:val="center"/>
          </w:tcPr>
          <w:p w14:paraId="55866B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已完成预期目标</w:t>
            </w:r>
          </w:p>
        </w:tc>
      </w:tr>
      <w:tr w14:paraId="61D68FC3">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0B8E51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E2AE9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57CA7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73B222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80" w:type="dxa"/>
            <w:tcBorders>
              <w:top w:val="nil"/>
              <w:left w:val="nil"/>
              <w:bottom w:val="single" w:color="auto" w:sz="4" w:space="0"/>
              <w:right w:val="single" w:color="auto" w:sz="4" w:space="0"/>
            </w:tcBorders>
            <w:noWrap w:val="0"/>
            <w:vAlign w:val="center"/>
          </w:tcPr>
          <w:p w14:paraId="128BBC7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80" w:type="dxa"/>
            <w:tcBorders>
              <w:top w:val="nil"/>
              <w:left w:val="nil"/>
              <w:bottom w:val="single" w:color="auto" w:sz="4" w:space="0"/>
              <w:right w:val="single" w:color="auto" w:sz="4" w:space="0"/>
            </w:tcBorders>
            <w:noWrap w:val="0"/>
            <w:vAlign w:val="center"/>
          </w:tcPr>
          <w:p w14:paraId="57946D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24" w:type="dxa"/>
            <w:tcBorders>
              <w:top w:val="nil"/>
              <w:left w:val="nil"/>
              <w:bottom w:val="single" w:color="auto" w:sz="4" w:space="0"/>
              <w:right w:val="single" w:color="auto" w:sz="4" w:space="0"/>
            </w:tcBorders>
            <w:noWrap w:val="0"/>
            <w:vAlign w:val="center"/>
          </w:tcPr>
          <w:p w14:paraId="31D8A548">
            <w:pPr>
              <w:widowControl/>
              <w:spacing w:line="240" w:lineRule="exact"/>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14:paraId="7A85A3A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018F61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34" w:type="dxa"/>
            <w:tcBorders>
              <w:top w:val="nil"/>
              <w:left w:val="nil"/>
              <w:bottom w:val="single" w:color="auto" w:sz="4" w:space="0"/>
              <w:right w:val="single" w:color="auto" w:sz="4" w:space="0"/>
            </w:tcBorders>
            <w:noWrap w:val="0"/>
            <w:vAlign w:val="center"/>
          </w:tcPr>
          <w:p w14:paraId="61819FC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191796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28" w:type="dxa"/>
            <w:tcBorders>
              <w:top w:val="nil"/>
              <w:left w:val="nil"/>
              <w:bottom w:val="single" w:color="auto" w:sz="4" w:space="0"/>
              <w:right w:val="single" w:color="auto" w:sz="4" w:space="0"/>
            </w:tcBorders>
            <w:noWrap w:val="0"/>
            <w:vAlign w:val="center"/>
          </w:tcPr>
          <w:p w14:paraId="272328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0E3D1E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18" w:type="dxa"/>
            <w:tcBorders>
              <w:top w:val="nil"/>
              <w:left w:val="nil"/>
              <w:bottom w:val="single" w:color="auto" w:sz="4" w:space="0"/>
              <w:right w:val="single" w:color="auto" w:sz="4" w:space="0"/>
            </w:tcBorders>
            <w:noWrap w:val="0"/>
            <w:vAlign w:val="center"/>
          </w:tcPr>
          <w:p w14:paraId="23155951">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A44942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6022D3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nil"/>
              <w:left w:val="single" w:color="auto" w:sz="4" w:space="0"/>
              <w:right w:val="single" w:color="auto" w:sz="4" w:space="0"/>
            </w:tcBorders>
            <w:noWrap w:val="0"/>
            <w:vAlign w:val="center"/>
          </w:tcPr>
          <w:p w14:paraId="5C658C6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97F8A7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p w14:paraId="0D0757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80" w:type="dxa"/>
            <w:tcBorders>
              <w:top w:val="nil"/>
              <w:left w:val="nil"/>
              <w:right w:val="single" w:color="auto" w:sz="4" w:space="0"/>
            </w:tcBorders>
            <w:noWrap w:val="0"/>
            <w:vAlign w:val="center"/>
          </w:tcPr>
          <w:p w14:paraId="678283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24" w:type="dxa"/>
            <w:tcBorders>
              <w:top w:val="nil"/>
              <w:left w:val="nil"/>
              <w:bottom w:val="single" w:color="auto" w:sz="4" w:space="0"/>
              <w:right w:val="single" w:color="auto" w:sz="4" w:space="0"/>
            </w:tcBorders>
            <w:noWrap w:val="0"/>
            <w:vAlign w:val="center"/>
          </w:tcPr>
          <w:p w14:paraId="506CF3F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立案查处环境违法行为</w:t>
            </w:r>
          </w:p>
        </w:tc>
        <w:tc>
          <w:tcPr>
            <w:tcW w:w="1134" w:type="dxa"/>
            <w:tcBorders>
              <w:top w:val="nil"/>
              <w:left w:val="nil"/>
              <w:bottom w:val="single" w:color="auto" w:sz="4" w:space="0"/>
              <w:right w:val="single" w:color="auto" w:sz="4" w:space="0"/>
            </w:tcBorders>
            <w:noWrap w:val="0"/>
            <w:vAlign w:val="center"/>
          </w:tcPr>
          <w:p w14:paraId="377134BB">
            <w:pPr>
              <w:widowControl/>
              <w:spacing w:line="240" w:lineRule="exact"/>
              <w:jc w:val="center"/>
              <w:rPr>
                <w:rFonts w:hint="eastAsia" w:ascii="仿宋_GB2312" w:hAnsi="仿宋_GB2312" w:eastAsia="微软雅黑" w:cs="仿宋_GB2312"/>
                <w:color w:val="000000"/>
                <w:sz w:val="20"/>
                <w:szCs w:val="20"/>
                <w:lang w:val="en-US" w:eastAsia="zh-CN"/>
              </w:rPr>
            </w:pP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val="en-US" w:eastAsia="zh-CN"/>
              </w:rPr>
              <w:t>35起</w:t>
            </w:r>
          </w:p>
        </w:tc>
        <w:tc>
          <w:tcPr>
            <w:tcW w:w="1134" w:type="dxa"/>
            <w:tcBorders>
              <w:top w:val="nil"/>
              <w:left w:val="nil"/>
              <w:bottom w:val="single" w:color="auto" w:sz="4" w:space="0"/>
              <w:right w:val="single" w:color="auto" w:sz="4" w:space="0"/>
            </w:tcBorders>
            <w:noWrap w:val="0"/>
            <w:vAlign w:val="center"/>
          </w:tcPr>
          <w:p w14:paraId="159CB59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39起</w:t>
            </w:r>
          </w:p>
        </w:tc>
        <w:tc>
          <w:tcPr>
            <w:tcW w:w="828" w:type="dxa"/>
            <w:tcBorders>
              <w:top w:val="nil"/>
              <w:left w:val="nil"/>
              <w:bottom w:val="single" w:color="auto" w:sz="4" w:space="0"/>
              <w:right w:val="single" w:color="auto" w:sz="4" w:space="0"/>
            </w:tcBorders>
            <w:noWrap w:val="0"/>
            <w:vAlign w:val="center"/>
          </w:tcPr>
          <w:p w14:paraId="004F931D">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20</w:t>
            </w:r>
          </w:p>
        </w:tc>
        <w:tc>
          <w:tcPr>
            <w:tcW w:w="873" w:type="dxa"/>
            <w:tcBorders>
              <w:top w:val="nil"/>
              <w:left w:val="nil"/>
              <w:bottom w:val="single" w:color="auto" w:sz="4" w:space="0"/>
              <w:right w:val="single" w:color="auto" w:sz="4" w:space="0"/>
            </w:tcBorders>
            <w:noWrap w:val="0"/>
            <w:vAlign w:val="center"/>
          </w:tcPr>
          <w:p w14:paraId="7FBB98CF">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highlight w:val="none"/>
                <w:lang w:val="en-US" w:eastAsia="zh-CN"/>
              </w:rPr>
              <w:t>20</w:t>
            </w:r>
          </w:p>
        </w:tc>
        <w:tc>
          <w:tcPr>
            <w:tcW w:w="1418" w:type="dxa"/>
            <w:tcBorders>
              <w:top w:val="nil"/>
              <w:left w:val="nil"/>
              <w:bottom w:val="single" w:color="auto" w:sz="4" w:space="0"/>
              <w:right w:val="single" w:color="auto" w:sz="4" w:space="0"/>
            </w:tcBorders>
            <w:noWrap w:val="0"/>
            <w:vAlign w:val="center"/>
          </w:tcPr>
          <w:p w14:paraId="127F2880">
            <w:pPr>
              <w:widowControl/>
              <w:spacing w:line="240" w:lineRule="exact"/>
              <w:jc w:val="center"/>
              <w:rPr>
                <w:rFonts w:hint="eastAsia" w:ascii="仿宋_GB2312" w:hAnsi="仿宋_GB2312" w:eastAsia="仿宋_GB2312" w:cs="仿宋_GB2312"/>
                <w:color w:val="000000"/>
                <w:sz w:val="20"/>
                <w:szCs w:val="20"/>
                <w:highlight w:val="none"/>
              </w:rPr>
            </w:pPr>
          </w:p>
        </w:tc>
      </w:tr>
      <w:tr w14:paraId="4B20899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ECCE66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C11CA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B6200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24" w:type="dxa"/>
            <w:tcBorders>
              <w:top w:val="nil"/>
              <w:left w:val="nil"/>
              <w:bottom w:val="single" w:color="auto" w:sz="4" w:space="0"/>
              <w:right w:val="single" w:color="auto" w:sz="4" w:space="0"/>
            </w:tcBorders>
            <w:noWrap w:val="0"/>
            <w:vAlign w:val="center"/>
          </w:tcPr>
          <w:p w14:paraId="2D272C02">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全县环境质量达标</w:t>
            </w:r>
          </w:p>
        </w:tc>
        <w:tc>
          <w:tcPr>
            <w:tcW w:w="1134" w:type="dxa"/>
            <w:tcBorders>
              <w:top w:val="nil"/>
              <w:left w:val="nil"/>
              <w:bottom w:val="single" w:color="auto" w:sz="4" w:space="0"/>
              <w:right w:val="single" w:color="auto" w:sz="4" w:space="0"/>
            </w:tcBorders>
            <w:noWrap w:val="0"/>
            <w:vAlign w:val="center"/>
          </w:tcPr>
          <w:p w14:paraId="5273125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≥90%</w:t>
            </w:r>
          </w:p>
        </w:tc>
        <w:tc>
          <w:tcPr>
            <w:tcW w:w="1134" w:type="dxa"/>
            <w:tcBorders>
              <w:top w:val="nil"/>
              <w:left w:val="nil"/>
              <w:bottom w:val="single" w:color="auto" w:sz="4" w:space="0"/>
              <w:right w:val="single" w:color="auto" w:sz="4" w:space="0"/>
            </w:tcBorders>
            <w:noWrap w:val="0"/>
            <w:vAlign w:val="center"/>
          </w:tcPr>
          <w:p w14:paraId="503ACED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≥90%</w:t>
            </w:r>
          </w:p>
        </w:tc>
        <w:tc>
          <w:tcPr>
            <w:tcW w:w="828" w:type="dxa"/>
            <w:tcBorders>
              <w:top w:val="nil"/>
              <w:left w:val="nil"/>
              <w:bottom w:val="single" w:color="auto" w:sz="4" w:space="0"/>
              <w:right w:val="single" w:color="auto" w:sz="4" w:space="0"/>
            </w:tcBorders>
            <w:noWrap w:val="0"/>
            <w:vAlign w:val="center"/>
          </w:tcPr>
          <w:p w14:paraId="509ABCD6">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873" w:type="dxa"/>
            <w:tcBorders>
              <w:top w:val="nil"/>
              <w:left w:val="nil"/>
              <w:bottom w:val="single" w:color="auto" w:sz="4" w:space="0"/>
              <w:right w:val="single" w:color="auto" w:sz="4" w:space="0"/>
            </w:tcBorders>
            <w:noWrap w:val="0"/>
            <w:vAlign w:val="center"/>
          </w:tcPr>
          <w:p w14:paraId="1E13599D">
            <w:pPr>
              <w:widowControl/>
              <w:spacing w:line="240" w:lineRule="exact"/>
              <w:jc w:val="center"/>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10</w:t>
            </w:r>
          </w:p>
        </w:tc>
        <w:tc>
          <w:tcPr>
            <w:tcW w:w="1418" w:type="dxa"/>
            <w:tcBorders>
              <w:top w:val="nil"/>
              <w:left w:val="nil"/>
              <w:bottom w:val="single" w:color="auto" w:sz="4" w:space="0"/>
              <w:right w:val="single" w:color="auto" w:sz="4" w:space="0"/>
            </w:tcBorders>
            <w:noWrap w:val="0"/>
            <w:vAlign w:val="center"/>
          </w:tcPr>
          <w:p w14:paraId="5F6C262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475B8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BEEE6A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220F7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69A7C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24" w:type="dxa"/>
            <w:tcBorders>
              <w:top w:val="nil"/>
              <w:left w:val="nil"/>
              <w:bottom w:val="single" w:color="auto" w:sz="4" w:space="0"/>
              <w:right w:val="single" w:color="auto" w:sz="4" w:space="0"/>
            </w:tcBorders>
            <w:noWrap w:val="0"/>
            <w:vAlign w:val="center"/>
          </w:tcPr>
          <w:p w14:paraId="101109C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按时完成各项指标任务</w:t>
            </w:r>
          </w:p>
        </w:tc>
        <w:tc>
          <w:tcPr>
            <w:tcW w:w="1134" w:type="dxa"/>
            <w:tcBorders>
              <w:top w:val="nil"/>
              <w:left w:val="nil"/>
              <w:bottom w:val="single" w:color="auto" w:sz="4" w:space="0"/>
              <w:right w:val="single" w:color="auto" w:sz="4" w:space="0"/>
            </w:tcBorders>
            <w:noWrap w:val="0"/>
            <w:vAlign w:val="center"/>
          </w:tcPr>
          <w:p w14:paraId="283FB33C">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rPr>
              <w:t>年年底</w:t>
            </w:r>
          </w:p>
        </w:tc>
        <w:tc>
          <w:tcPr>
            <w:tcW w:w="1134" w:type="dxa"/>
            <w:tcBorders>
              <w:top w:val="nil"/>
              <w:left w:val="nil"/>
              <w:bottom w:val="single" w:color="auto" w:sz="4" w:space="0"/>
              <w:right w:val="single" w:color="auto" w:sz="4" w:space="0"/>
            </w:tcBorders>
            <w:noWrap w:val="0"/>
            <w:vAlign w:val="center"/>
          </w:tcPr>
          <w:p w14:paraId="6E8A2D3F">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eastAsia="zh-CN"/>
              </w:rPr>
              <w:t>2025</w:t>
            </w:r>
            <w:r>
              <w:rPr>
                <w:rFonts w:hint="eastAsia" w:ascii="仿宋_GB2312" w:hAnsi="仿宋_GB2312" w:eastAsia="仿宋_GB2312" w:cs="仿宋_GB2312"/>
                <w:color w:val="000000"/>
                <w:sz w:val="20"/>
                <w:szCs w:val="20"/>
              </w:rPr>
              <w:t>年年底</w:t>
            </w:r>
          </w:p>
        </w:tc>
        <w:tc>
          <w:tcPr>
            <w:tcW w:w="828" w:type="dxa"/>
            <w:tcBorders>
              <w:top w:val="nil"/>
              <w:left w:val="nil"/>
              <w:bottom w:val="single" w:color="auto" w:sz="4" w:space="0"/>
              <w:right w:val="single" w:color="auto" w:sz="4" w:space="0"/>
            </w:tcBorders>
            <w:noWrap w:val="0"/>
            <w:vAlign w:val="center"/>
          </w:tcPr>
          <w:p w14:paraId="7149BC2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w:t>
            </w:r>
            <w:r>
              <w:rPr>
                <w:rFonts w:hint="eastAsia" w:ascii="仿宋_GB2312" w:hAnsi="仿宋_GB2312" w:eastAsia="仿宋_GB2312" w:cs="仿宋_GB2312"/>
                <w:color w:val="000000"/>
                <w:sz w:val="20"/>
                <w:szCs w:val="20"/>
                <w:lang w:val="en-US" w:eastAsia="zh-CN"/>
              </w:rPr>
              <w:t>0</w:t>
            </w:r>
          </w:p>
        </w:tc>
        <w:tc>
          <w:tcPr>
            <w:tcW w:w="873" w:type="dxa"/>
            <w:tcBorders>
              <w:top w:val="nil"/>
              <w:left w:val="nil"/>
              <w:bottom w:val="single" w:color="auto" w:sz="4" w:space="0"/>
              <w:right w:val="single" w:color="auto" w:sz="4" w:space="0"/>
            </w:tcBorders>
            <w:noWrap w:val="0"/>
            <w:vAlign w:val="center"/>
          </w:tcPr>
          <w:p w14:paraId="0A224CEB">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w:t>
            </w:r>
            <w:r>
              <w:rPr>
                <w:rFonts w:hint="eastAsia" w:ascii="仿宋_GB2312" w:hAnsi="仿宋_GB2312" w:eastAsia="仿宋_GB2312" w:cs="仿宋_GB2312"/>
                <w:color w:val="000000"/>
                <w:sz w:val="20"/>
                <w:szCs w:val="20"/>
                <w:lang w:val="en-US" w:eastAsia="zh-CN"/>
              </w:rPr>
              <w:t>0</w:t>
            </w:r>
          </w:p>
        </w:tc>
        <w:tc>
          <w:tcPr>
            <w:tcW w:w="1418" w:type="dxa"/>
            <w:tcBorders>
              <w:top w:val="nil"/>
              <w:left w:val="nil"/>
              <w:bottom w:val="single" w:color="auto" w:sz="4" w:space="0"/>
              <w:right w:val="single" w:color="auto" w:sz="4" w:space="0"/>
            </w:tcBorders>
            <w:noWrap w:val="0"/>
            <w:vAlign w:val="center"/>
          </w:tcPr>
          <w:p w14:paraId="05D43C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CFEBBD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D43653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C12DD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3EB5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24" w:type="dxa"/>
            <w:tcBorders>
              <w:top w:val="nil"/>
              <w:left w:val="nil"/>
              <w:bottom w:val="single" w:color="auto" w:sz="4" w:space="0"/>
              <w:right w:val="single" w:color="auto" w:sz="4" w:space="0"/>
            </w:tcBorders>
            <w:noWrap w:val="0"/>
            <w:vAlign w:val="center"/>
          </w:tcPr>
          <w:p w14:paraId="7A7DE17E">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支出控制在预算内</w:t>
            </w:r>
          </w:p>
        </w:tc>
        <w:tc>
          <w:tcPr>
            <w:tcW w:w="1134" w:type="dxa"/>
            <w:tcBorders>
              <w:top w:val="nil"/>
              <w:left w:val="nil"/>
              <w:bottom w:val="single" w:color="auto" w:sz="4" w:space="0"/>
              <w:right w:val="single" w:color="auto" w:sz="4" w:space="0"/>
            </w:tcBorders>
            <w:noWrap w:val="0"/>
            <w:vAlign w:val="center"/>
          </w:tcPr>
          <w:p w14:paraId="05AAC3F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sz w:val="20"/>
                <w:szCs w:val="20"/>
                <w:highlight w:val="none"/>
                <w:lang w:val="en-US" w:eastAsia="zh-CN"/>
              </w:rPr>
              <w:t>288.00</w:t>
            </w:r>
            <w:r>
              <w:rPr>
                <w:rFonts w:hint="eastAsia" w:ascii="仿宋_GB2312" w:hAnsi="仿宋_GB2312" w:eastAsia="仿宋_GB2312" w:cs="仿宋_GB2312"/>
                <w:color w:val="000000"/>
                <w:sz w:val="20"/>
                <w:szCs w:val="20"/>
              </w:rPr>
              <w:t>万</w:t>
            </w:r>
          </w:p>
        </w:tc>
        <w:tc>
          <w:tcPr>
            <w:tcW w:w="1134" w:type="dxa"/>
            <w:tcBorders>
              <w:top w:val="nil"/>
              <w:left w:val="nil"/>
              <w:bottom w:val="single" w:color="auto" w:sz="4" w:space="0"/>
              <w:right w:val="single" w:color="auto" w:sz="4" w:space="0"/>
            </w:tcBorders>
            <w:noWrap w:val="0"/>
            <w:vAlign w:val="center"/>
          </w:tcPr>
          <w:p w14:paraId="46AA33CA">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sz w:val="20"/>
                <w:szCs w:val="20"/>
                <w:highlight w:val="none"/>
                <w:lang w:val="en-US" w:eastAsia="zh-CN"/>
              </w:rPr>
              <w:t>263.00</w:t>
            </w:r>
            <w:r>
              <w:rPr>
                <w:rFonts w:hint="eastAsia" w:ascii="仿宋_GB2312" w:hAnsi="仿宋_GB2312" w:eastAsia="仿宋_GB2312" w:cs="仿宋_GB2312"/>
                <w:color w:val="000000"/>
                <w:sz w:val="20"/>
                <w:szCs w:val="20"/>
              </w:rPr>
              <w:t>万</w:t>
            </w:r>
          </w:p>
        </w:tc>
        <w:tc>
          <w:tcPr>
            <w:tcW w:w="828" w:type="dxa"/>
            <w:tcBorders>
              <w:top w:val="nil"/>
              <w:left w:val="nil"/>
              <w:bottom w:val="single" w:color="auto" w:sz="4" w:space="0"/>
              <w:right w:val="single" w:color="auto" w:sz="4" w:space="0"/>
            </w:tcBorders>
            <w:noWrap w:val="0"/>
            <w:vAlign w:val="center"/>
          </w:tcPr>
          <w:p w14:paraId="27A313C0">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3" w:type="dxa"/>
            <w:tcBorders>
              <w:top w:val="nil"/>
              <w:left w:val="nil"/>
              <w:bottom w:val="single" w:color="auto" w:sz="4" w:space="0"/>
              <w:right w:val="single" w:color="auto" w:sz="4" w:space="0"/>
            </w:tcBorders>
            <w:noWrap w:val="0"/>
            <w:vAlign w:val="center"/>
          </w:tcPr>
          <w:p w14:paraId="5ECA8C97">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1418" w:type="dxa"/>
            <w:tcBorders>
              <w:top w:val="nil"/>
              <w:left w:val="nil"/>
              <w:bottom w:val="single" w:color="auto" w:sz="4" w:space="0"/>
              <w:right w:val="single" w:color="auto" w:sz="4" w:space="0"/>
            </w:tcBorders>
            <w:noWrap w:val="0"/>
            <w:vAlign w:val="center"/>
          </w:tcPr>
          <w:p w14:paraId="0B0D652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D78CED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133159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7487F5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6294C4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p w14:paraId="0235FC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58245B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00DE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6C88CB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1BA5C567">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企业减排增效，实现经济可持续发展</w:t>
            </w:r>
          </w:p>
        </w:tc>
        <w:tc>
          <w:tcPr>
            <w:tcW w:w="1134" w:type="dxa"/>
            <w:tcBorders>
              <w:top w:val="nil"/>
              <w:left w:val="nil"/>
              <w:bottom w:val="single" w:color="auto" w:sz="4" w:space="0"/>
              <w:right w:val="single" w:color="auto" w:sz="4" w:space="0"/>
            </w:tcBorders>
            <w:noWrap w:val="0"/>
            <w:vAlign w:val="center"/>
          </w:tcPr>
          <w:p w14:paraId="560477A1">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经济平稳发展</w:t>
            </w:r>
          </w:p>
        </w:tc>
        <w:tc>
          <w:tcPr>
            <w:tcW w:w="1134" w:type="dxa"/>
            <w:tcBorders>
              <w:top w:val="nil"/>
              <w:left w:val="nil"/>
              <w:bottom w:val="single" w:color="auto" w:sz="4" w:space="0"/>
              <w:right w:val="single" w:color="auto" w:sz="4" w:space="0"/>
            </w:tcBorders>
            <w:noWrap w:val="0"/>
            <w:vAlign w:val="center"/>
          </w:tcPr>
          <w:p w14:paraId="39EABE9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平稳发展</w:t>
            </w:r>
          </w:p>
        </w:tc>
        <w:tc>
          <w:tcPr>
            <w:tcW w:w="828" w:type="dxa"/>
            <w:tcBorders>
              <w:top w:val="nil"/>
              <w:left w:val="nil"/>
              <w:bottom w:val="single" w:color="auto" w:sz="4" w:space="0"/>
              <w:right w:val="single" w:color="auto" w:sz="4" w:space="0"/>
            </w:tcBorders>
            <w:noWrap w:val="0"/>
            <w:vAlign w:val="center"/>
          </w:tcPr>
          <w:p w14:paraId="038C0D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6BBE8A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57BFC15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ADB0F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B9F7664">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right w:val="single" w:color="auto" w:sz="4" w:space="0"/>
            </w:tcBorders>
            <w:noWrap w:val="0"/>
            <w:vAlign w:val="center"/>
          </w:tcPr>
          <w:p w14:paraId="697CF00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7BA9B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6DF9AB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0F2C245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群众生活状况改善情况</w:t>
            </w:r>
          </w:p>
        </w:tc>
        <w:tc>
          <w:tcPr>
            <w:tcW w:w="1134" w:type="dxa"/>
            <w:tcBorders>
              <w:top w:val="nil"/>
              <w:left w:val="nil"/>
              <w:bottom w:val="single" w:color="auto" w:sz="4" w:space="0"/>
              <w:right w:val="single" w:color="auto" w:sz="4" w:space="0"/>
            </w:tcBorders>
            <w:noWrap w:val="0"/>
            <w:vAlign w:val="center"/>
          </w:tcPr>
          <w:p w14:paraId="1406C023">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有所提升</w:t>
            </w:r>
          </w:p>
        </w:tc>
        <w:tc>
          <w:tcPr>
            <w:tcW w:w="1134" w:type="dxa"/>
            <w:tcBorders>
              <w:top w:val="nil"/>
              <w:left w:val="nil"/>
              <w:bottom w:val="single" w:color="auto" w:sz="4" w:space="0"/>
              <w:right w:val="single" w:color="auto" w:sz="4" w:space="0"/>
            </w:tcBorders>
            <w:noWrap w:val="0"/>
            <w:vAlign w:val="center"/>
          </w:tcPr>
          <w:p w14:paraId="682E409B">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有所提升</w:t>
            </w:r>
          </w:p>
        </w:tc>
        <w:tc>
          <w:tcPr>
            <w:tcW w:w="828" w:type="dxa"/>
            <w:tcBorders>
              <w:top w:val="nil"/>
              <w:left w:val="nil"/>
              <w:bottom w:val="single" w:color="auto" w:sz="4" w:space="0"/>
              <w:right w:val="single" w:color="auto" w:sz="4" w:space="0"/>
            </w:tcBorders>
            <w:noWrap w:val="0"/>
            <w:vAlign w:val="center"/>
          </w:tcPr>
          <w:p w14:paraId="4174EC2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5EFE69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68565BC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C86A8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53A641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4BF8C6F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CDE57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28988A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24" w:type="dxa"/>
            <w:tcBorders>
              <w:top w:val="nil"/>
              <w:left w:val="nil"/>
              <w:bottom w:val="single" w:color="auto" w:sz="4" w:space="0"/>
              <w:right w:val="single" w:color="auto" w:sz="4" w:space="0"/>
            </w:tcBorders>
            <w:noWrap w:val="0"/>
            <w:vAlign w:val="center"/>
          </w:tcPr>
          <w:p w14:paraId="5D5E98E0">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空气质量得以改善</w:t>
            </w:r>
          </w:p>
        </w:tc>
        <w:tc>
          <w:tcPr>
            <w:tcW w:w="1134" w:type="dxa"/>
            <w:tcBorders>
              <w:top w:val="nil"/>
              <w:left w:val="nil"/>
              <w:bottom w:val="single" w:color="auto" w:sz="4" w:space="0"/>
              <w:right w:val="single" w:color="auto" w:sz="4" w:space="0"/>
            </w:tcBorders>
            <w:noWrap w:val="0"/>
            <w:vAlign w:val="center"/>
          </w:tcPr>
          <w:p w14:paraId="6446664D">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有所改善</w:t>
            </w:r>
          </w:p>
        </w:tc>
        <w:tc>
          <w:tcPr>
            <w:tcW w:w="1134" w:type="dxa"/>
            <w:tcBorders>
              <w:top w:val="nil"/>
              <w:left w:val="nil"/>
              <w:bottom w:val="single" w:color="auto" w:sz="4" w:space="0"/>
              <w:right w:val="single" w:color="auto" w:sz="4" w:space="0"/>
            </w:tcBorders>
            <w:noWrap w:val="0"/>
            <w:vAlign w:val="center"/>
          </w:tcPr>
          <w:p w14:paraId="0278C059">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有所改善</w:t>
            </w:r>
          </w:p>
        </w:tc>
        <w:tc>
          <w:tcPr>
            <w:tcW w:w="828" w:type="dxa"/>
            <w:tcBorders>
              <w:top w:val="nil"/>
              <w:left w:val="nil"/>
              <w:bottom w:val="single" w:color="auto" w:sz="4" w:space="0"/>
              <w:right w:val="single" w:color="auto" w:sz="4" w:space="0"/>
            </w:tcBorders>
            <w:noWrap w:val="0"/>
            <w:vAlign w:val="center"/>
          </w:tcPr>
          <w:p w14:paraId="2304C57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5155BB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nil"/>
              <w:left w:val="nil"/>
              <w:bottom w:val="single" w:color="auto" w:sz="4" w:space="0"/>
              <w:right w:val="single" w:color="auto" w:sz="4" w:space="0"/>
            </w:tcBorders>
            <w:noWrap w:val="0"/>
            <w:vAlign w:val="center"/>
          </w:tcPr>
          <w:p w14:paraId="088BF38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81BC21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20D40A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4533E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9763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E63E98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可持续发展情况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7BABEC">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社会可持续发展良好</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5DFC25">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效益明显</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13A5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F21A3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986DC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C7C115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6656C1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AF932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4BD6CF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6B6917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6FEA0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24" w:type="dxa"/>
            <w:tcBorders>
              <w:top w:val="nil"/>
              <w:left w:val="nil"/>
              <w:bottom w:val="single" w:color="auto" w:sz="4" w:space="0"/>
              <w:right w:val="single" w:color="auto" w:sz="4" w:space="0"/>
            </w:tcBorders>
            <w:noWrap w:val="0"/>
            <w:vAlign w:val="center"/>
          </w:tcPr>
          <w:p w14:paraId="729058C6">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岳阳县全体人民群众</w:t>
            </w:r>
          </w:p>
        </w:tc>
        <w:tc>
          <w:tcPr>
            <w:tcW w:w="1134" w:type="dxa"/>
            <w:tcBorders>
              <w:top w:val="nil"/>
              <w:left w:val="nil"/>
              <w:bottom w:val="single" w:color="auto" w:sz="4" w:space="0"/>
              <w:right w:val="single" w:color="auto" w:sz="4" w:space="0"/>
            </w:tcBorders>
            <w:noWrap w:val="0"/>
            <w:vAlign w:val="center"/>
          </w:tcPr>
          <w:p w14:paraId="06FC81E3">
            <w:pPr>
              <w:widowControl/>
              <w:spacing w:line="240" w:lineRule="exact"/>
              <w:jc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rPr>
              <w:t>≥95%</w:t>
            </w:r>
          </w:p>
        </w:tc>
        <w:tc>
          <w:tcPr>
            <w:tcW w:w="1134" w:type="dxa"/>
            <w:tcBorders>
              <w:top w:val="nil"/>
              <w:left w:val="nil"/>
              <w:bottom w:val="single" w:color="auto" w:sz="4" w:space="0"/>
              <w:right w:val="single" w:color="auto" w:sz="4" w:space="0"/>
            </w:tcBorders>
            <w:noWrap w:val="0"/>
            <w:vAlign w:val="center"/>
          </w:tcPr>
          <w:p w14:paraId="61BA27FF">
            <w:pPr>
              <w:widowControl/>
              <w:spacing w:line="240" w:lineRule="exact"/>
              <w:jc w:val="center"/>
              <w:rPr>
                <w:rFonts w:hint="default" w:ascii="仿宋_GB2312" w:hAnsi="仿宋_GB2312" w:eastAsia="仿宋_GB2312" w:cs="仿宋_GB2312"/>
                <w:color w:val="000000"/>
                <w:sz w:val="20"/>
                <w:szCs w:val="20"/>
                <w:lang w:val="en-US" w:eastAsia="zh-CN"/>
              </w:rPr>
            </w:pPr>
            <w:r>
              <w:rPr>
                <w:rFonts w:hint="eastAsia" w:ascii="仿宋_GB2312" w:hAnsi="仿宋_GB2312" w:eastAsia="仿宋_GB2312" w:cs="仿宋_GB2312"/>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14:paraId="07D93131">
            <w:pPr>
              <w:widowControl/>
              <w:spacing w:line="240" w:lineRule="exact"/>
              <w:jc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rPr>
              <w:t>10</w:t>
            </w:r>
          </w:p>
        </w:tc>
        <w:tc>
          <w:tcPr>
            <w:tcW w:w="873" w:type="dxa"/>
            <w:tcBorders>
              <w:top w:val="nil"/>
              <w:left w:val="nil"/>
              <w:bottom w:val="single" w:color="auto" w:sz="4" w:space="0"/>
              <w:right w:val="single" w:color="auto" w:sz="4" w:space="0"/>
            </w:tcBorders>
            <w:noWrap w:val="0"/>
            <w:vAlign w:val="center"/>
          </w:tcPr>
          <w:p w14:paraId="49EEC6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18" w:type="dxa"/>
            <w:tcBorders>
              <w:top w:val="nil"/>
              <w:left w:val="nil"/>
              <w:bottom w:val="single" w:color="auto" w:sz="4" w:space="0"/>
              <w:right w:val="single" w:color="auto" w:sz="4" w:space="0"/>
            </w:tcBorders>
            <w:noWrap w:val="0"/>
            <w:vAlign w:val="center"/>
          </w:tcPr>
          <w:p w14:paraId="4C1E142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C1C32F1">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14:paraId="02CED3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28" w:type="dxa"/>
            <w:tcBorders>
              <w:top w:val="nil"/>
              <w:left w:val="nil"/>
              <w:bottom w:val="single" w:color="auto" w:sz="4" w:space="0"/>
              <w:right w:val="single" w:color="auto" w:sz="4" w:space="0"/>
            </w:tcBorders>
            <w:noWrap w:val="0"/>
            <w:vAlign w:val="center"/>
          </w:tcPr>
          <w:p w14:paraId="6944ED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73" w:type="dxa"/>
            <w:tcBorders>
              <w:top w:val="nil"/>
              <w:left w:val="nil"/>
              <w:bottom w:val="single" w:color="auto" w:sz="4" w:space="0"/>
              <w:right w:val="single" w:color="auto" w:sz="4" w:space="0"/>
            </w:tcBorders>
            <w:noWrap w:val="0"/>
            <w:vAlign w:val="center"/>
          </w:tcPr>
          <w:p w14:paraId="1758DD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99.13</w:t>
            </w:r>
          </w:p>
        </w:tc>
        <w:tc>
          <w:tcPr>
            <w:tcW w:w="1418" w:type="dxa"/>
            <w:tcBorders>
              <w:top w:val="nil"/>
              <w:left w:val="nil"/>
              <w:bottom w:val="single" w:color="auto" w:sz="4" w:space="0"/>
              <w:right w:val="single" w:color="auto" w:sz="4" w:space="0"/>
            </w:tcBorders>
            <w:noWrap w:val="0"/>
            <w:vAlign w:val="center"/>
          </w:tcPr>
          <w:p w14:paraId="270A16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7035917">
      <w:pPr>
        <w:rPr>
          <w:rFonts w:hint="default" w:ascii="Times New Roman" w:hAnsi="Times New Roman" w:eastAsia="仿宋_GB2312" w:cs="Times New Roman"/>
          <w:sz w:val="18"/>
          <w:szCs w:val="18"/>
          <w:highlight w:val="none"/>
        </w:rPr>
      </w:pPr>
    </w:p>
    <w:p w14:paraId="1454D4A2">
      <w:pPr>
        <w:rPr>
          <w:rFonts w:hint="default" w:ascii="Times New Roman" w:hAnsi="Times New Roman" w:eastAsia="仿宋_GB2312" w:cs="Times New Roman"/>
          <w:szCs w:val="21"/>
          <w:highlight w:val="none"/>
        </w:rPr>
      </w:pPr>
      <w:r>
        <w:rPr>
          <w:rFonts w:hint="default" w:ascii="Times New Roman" w:hAnsi="Times New Roman" w:eastAsia="仿宋_GB2312" w:cs="Times New Roman"/>
          <w:sz w:val="18"/>
          <w:szCs w:val="18"/>
          <w:highlight w:val="none"/>
        </w:rPr>
        <w:t>备注：一个一级项目支出一张表。</w:t>
      </w:r>
      <w:r>
        <w:rPr>
          <w:rFonts w:hint="eastAsia" w:ascii="Times New Roman" w:hAnsi="Times New Roman" w:eastAsia="仿宋_GB2312" w:cs="Times New Roman"/>
          <w:sz w:val="18"/>
          <w:szCs w:val="18"/>
          <w:highlight w:val="none"/>
          <w:lang w:eastAsia="zh-CN"/>
        </w:rPr>
        <w:t>如，</w:t>
      </w:r>
      <w:r>
        <w:rPr>
          <w:rFonts w:hint="default" w:ascii="Times New Roman" w:hAnsi="Times New Roman" w:eastAsia="仿宋_GB2312" w:cs="Times New Roman"/>
          <w:sz w:val="18"/>
          <w:szCs w:val="18"/>
          <w:highlight w:val="none"/>
        </w:rPr>
        <w:t>业务工作经费</w:t>
      </w:r>
      <w:r>
        <w:rPr>
          <w:rFonts w:hint="eastAsia" w:ascii="Times New Roman" w:hAnsi="Times New Roman" w:eastAsia="仿宋_GB2312" w:cs="Times New Roman"/>
          <w:sz w:val="18"/>
          <w:szCs w:val="18"/>
          <w:highlight w:val="none"/>
          <w:lang w:eastAsia="zh-CN"/>
        </w:rPr>
        <w:t>，</w:t>
      </w:r>
      <w:r>
        <w:rPr>
          <w:rFonts w:hint="default" w:ascii="Times New Roman" w:hAnsi="Times New Roman" w:eastAsia="仿宋_GB2312" w:cs="Times New Roman"/>
          <w:sz w:val="18"/>
          <w:szCs w:val="18"/>
          <w:highlight w:val="none"/>
        </w:rPr>
        <w:t>运行维护经费</w:t>
      </w:r>
      <w:r>
        <w:rPr>
          <w:rFonts w:hint="eastAsia" w:ascii="Times New Roman" w:hAnsi="Times New Roman" w:eastAsia="仿宋_GB2312" w:cs="Times New Roman"/>
          <w:sz w:val="18"/>
          <w:szCs w:val="18"/>
          <w:highlight w:val="none"/>
          <w:lang w:eastAsia="zh-CN"/>
        </w:rPr>
        <w:t>，其他事业发展类资金…各一张表。</w:t>
      </w:r>
    </w:p>
    <w:p w14:paraId="25B52934">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 xml:space="preserve">填表人：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填报日期：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 xml:space="preserve"> 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4BB4379D">
      <w:pPr>
        <w:jc w:val="center"/>
        <w:rPr>
          <w:rFonts w:hint="default" w:ascii="Times New Roman" w:hAnsi="Times New Roman" w:eastAsia="方正小标宋_GBK" w:cs="Times New Roman"/>
          <w:sz w:val="52"/>
          <w:szCs w:val="52"/>
          <w:highlight w:val="none"/>
        </w:rPr>
      </w:pPr>
    </w:p>
    <w:p w14:paraId="7155E7F2">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eastAsia="zh-CN"/>
        </w:rPr>
        <w:t>2025</w:t>
      </w:r>
      <w:r>
        <w:rPr>
          <w:rFonts w:hint="eastAsia" w:ascii="方正小标宋简体" w:hAnsi="方正小标宋简体" w:eastAsia="方正小标宋简体" w:cs="方正小标宋简体"/>
          <w:sz w:val="44"/>
          <w:szCs w:val="44"/>
          <w:highlight w:val="none"/>
        </w:rPr>
        <w:t>年度岳阳市生态环境局岳阳县分局</w:t>
      </w:r>
    </w:p>
    <w:p w14:paraId="2FD361C6">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729E1D07">
      <w:pPr>
        <w:jc w:val="center"/>
        <w:rPr>
          <w:rFonts w:hint="default" w:ascii="Times New Roman" w:hAnsi="Times New Roman" w:eastAsia="方正小标宋_GBK" w:cs="Times New Roman"/>
          <w:b/>
          <w:sz w:val="52"/>
          <w:szCs w:val="52"/>
          <w:highlight w:val="none"/>
        </w:rPr>
      </w:pPr>
    </w:p>
    <w:p w14:paraId="7344D13F">
      <w:pPr>
        <w:jc w:val="center"/>
        <w:rPr>
          <w:rFonts w:hint="default" w:ascii="Times New Roman" w:hAnsi="Times New Roman" w:eastAsia="楷体_GB2312" w:cs="Times New Roman"/>
          <w:b/>
          <w:sz w:val="32"/>
          <w:szCs w:val="32"/>
          <w:highlight w:val="none"/>
        </w:rPr>
      </w:pPr>
    </w:p>
    <w:p w14:paraId="12794237">
      <w:pPr>
        <w:jc w:val="center"/>
        <w:rPr>
          <w:rFonts w:hint="default" w:ascii="Times New Roman" w:hAnsi="Times New Roman" w:eastAsia="楷体_GB2312" w:cs="Times New Roman"/>
          <w:b/>
          <w:sz w:val="32"/>
          <w:szCs w:val="32"/>
          <w:highlight w:val="none"/>
        </w:rPr>
      </w:pPr>
    </w:p>
    <w:p w14:paraId="7758A347">
      <w:pPr>
        <w:jc w:val="center"/>
        <w:rPr>
          <w:rFonts w:hint="default" w:ascii="Times New Roman" w:hAnsi="Times New Roman" w:eastAsia="楷体_GB2312" w:cs="Times New Roman"/>
          <w:b/>
          <w:sz w:val="32"/>
          <w:szCs w:val="32"/>
          <w:highlight w:val="none"/>
        </w:rPr>
      </w:pPr>
    </w:p>
    <w:p w14:paraId="787C8ABB">
      <w:pPr>
        <w:jc w:val="center"/>
        <w:rPr>
          <w:rFonts w:hint="default" w:ascii="Times New Roman" w:hAnsi="Times New Roman" w:eastAsia="楷体_GB2312" w:cs="Times New Roman"/>
          <w:b/>
          <w:sz w:val="32"/>
          <w:szCs w:val="32"/>
          <w:highlight w:val="none"/>
        </w:rPr>
      </w:pPr>
    </w:p>
    <w:p w14:paraId="5BE1F5C3">
      <w:pPr>
        <w:jc w:val="center"/>
        <w:rPr>
          <w:rFonts w:hint="default" w:ascii="Times New Roman" w:hAnsi="Times New Roman" w:eastAsia="楷体_GB2312" w:cs="Times New Roman"/>
          <w:b/>
          <w:sz w:val="32"/>
          <w:szCs w:val="32"/>
          <w:highlight w:val="none"/>
        </w:rPr>
      </w:pPr>
    </w:p>
    <w:p w14:paraId="3F2C68C0">
      <w:pPr>
        <w:jc w:val="center"/>
        <w:rPr>
          <w:rFonts w:hint="default" w:ascii="Times New Roman" w:hAnsi="Times New Roman" w:eastAsia="楷体_GB2312" w:cs="Times New Roman"/>
          <w:b/>
          <w:sz w:val="32"/>
          <w:szCs w:val="32"/>
          <w:highlight w:val="none"/>
        </w:rPr>
      </w:pPr>
    </w:p>
    <w:p w14:paraId="5B973B8F">
      <w:pPr>
        <w:jc w:val="center"/>
        <w:rPr>
          <w:rFonts w:hint="default" w:ascii="Times New Roman" w:hAnsi="Times New Roman" w:eastAsia="黑体" w:cs="Times New Roman"/>
          <w:sz w:val="32"/>
          <w:szCs w:val="32"/>
          <w:highlight w:val="none"/>
        </w:rPr>
      </w:pPr>
    </w:p>
    <w:p w14:paraId="63310519">
      <w:pPr>
        <w:jc w:val="center"/>
        <w:rPr>
          <w:rFonts w:hint="default" w:ascii="Times New Roman" w:hAnsi="Times New Roman" w:eastAsia="黑体" w:cs="Times New Roman"/>
          <w:sz w:val="32"/>
          <w:szCs w:val="32"/>
          <w:highlight w:val="none"/>
        </w:rPr>
      </w:pPr>
    </w:p>
    <w:p w14:paraId="560CF168">
      <w:pPr>
        <w:jc w:val="center"/>
        <w:rPr>
          <w:rFonts w:hint="default" w:ascii="Times New Roman" w:hAnsi="Times New Roman" w:eastAsia="黑体" w:cs="Times New Roman"/>
          <w:sz w:val="32"/>
          <w:szCs w:val="32"/>
          <w:highlight w:val="none"/>
        </w:rPr>
      </w:pPr>
    </w:p>
    <w:p w14:paraId="2C9FE7C0">
      <w:pPr>
        <w:jc w:val="both"/>
        <w:rPr>
          <w:rFonts w:hint="default" w:ascii="Times New Roman" w:hAnsi="Times New Roman" w:eastAsia="黑体" w:cs="Times New Roman"/>
          <w:sz w:val="32"/>
          <w:szCs w:val="32"/>
          <w:highlight w:val="none"/>
        </w:rPr>
      </w:pPr>
    </w:p>
    <w:p w14:paraId="7D9A1E55">
      <w:pPr>
        <w:jc w:val="both"/>
        <w:rPr>
          <w:rFonts w:hint="default" w:ascii="Times New Roman" w:hAnsi="Times New Roman" w:eastAsia="黑体" w:cs="Times New Roman"/>
          <w:sz w:val="32"/>
          <w:szCs w:val="32"/>
          <w:highlight w:val="none"/>
        </w:rPr>
      </w:pPr>
    </w:p>
    <w:p w14:paraId="4A32A8C0">
      <w:pPr>
        <w:jc w:val="center"/>
        <w:rPr>
          <w:rFonts w:hint="default" w:ascii="Times New Roman" w:hAnsi="Times New Roman" w:eastAsia="黑体" w:cs="Times New Roman"/>
          <w:sz w:val="32"/>
          <w:szCs w:val="32"/>
          <w:highlight w:val="none"/>
        </w:rPr>
      </w:pPr>
    </w:p>
    <w:p w14:paraId="3B0BFD3C">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部门（单位）名称：岳阳市生态环境局岳阳县分局</w:t>
      </w:r>
      <w:r>
        <w:rPr>
          <w:rFonts w:hint="default" w:ascii="Times New Roman" w:hAnsi="Times New Roman" w:eastAsia="仿宋_GB2312" w:cs="Times New Roman"/>
          <w:sz w:val="32"/>
          <w:szCs w:val="32"/>
          <w:highlight w:val="none"/>
          <w:u w:val="none"/>
        </w:rPr>
        <w:t>（盖章）</w:t>
      </w:r>
    </w:p>
    <w:p w14:paraId="78091672">
      <w:pPr>
        <w:spacing w:line="600" w:lineRule="exact"/>
        <w:jc w:val="center"/>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年  月  日</w:t>
      </w:r>
    </w:p>
    <w:p w14:paraId="39EAD24E">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1738AB10">
      <w:pPr>
        <w:jc w:val="center"/>
        <w:rPr>
          <w:rFonts w:hint="eastAsia" w:ascii="方正小标宋简体" w:hAnsi="方正小标宋简体" w:eastAsia="方正小标宋简体" w:cs="方正小标宋简体"/>
          <w:sz w:val="44"/>
          <w:szCs w:val="44"/>
          <w:highlight w:val="none"/>
        </w:rPr>
      </w:pPr>
      <w:r>
        <w:rPr>
          <w:rFonts w:hint="default" w:ascii="Times New Roman" w:hAnsi="Times New Roman" w:eastAsia="仿宋_GB2312" w:cs="Times New Roman"/>
          <w:sz w:val="32"/>
          <w:szCs w:val="32"/>
          <w:highlight w:val="none"/>
        </w:rPr>
        <w:br w:type="page"/>
      </w:r>
      <w:r>
        <w:rPr>
          <w:rFonts w:hint="eastAsia" w:ascii="方正小标宋简体" w:hAnsi="方正小标宋简体" w:eastAsia="方正小标宋简体" w:cs="方正小标宋简体"/>
          <w:sz w:val="44"/>
          <w:szCs w:val="44"/>
          <w:highlight w:val="none"/>
          <w:lang w:eastAsia="zh-CN"/>
        </w:rPr>
        <w:t>2025</w:t>
      </w:r>
      <w:r>
        <w:rPr>
          <w:rFonts w:hint="eastAsia" w:ascii="方正小标宋简体" w:hAnsi="方正小标宋简体" w:eastAsia="方正小标宋简体" w:cs="方正小标宋简体"/>
          <w:sz w:val="44"/>
          <w:szCs w:val="44"/>
          <w:highlight w:val="none"/>
        </w:rPr>
        <w:t>年度岳阳市生态环境局岳阳县分局</w:t>
      </w:r>
    </w:p>
    <w:p w14:paraId="78E56C41">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整体支出绩效自评报告</w:t>
      </w:r>
    </w:p>
    <w:p w14:paraId="0F15BBAF">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16F9CE0C">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7B412E58">
      <w:pPr>
        <w:widowControl w:val="0"/>
        <w:spacing w:line="560" w:lineRule="exact"/>
        <w:ind w:firstLine="321" w:firstLineChars="100"/>
        <w:jc w:val="left"/>
        <w:rPr>
          <w:rFonts w:hint="eastAsia" w:ascii="仿宋_GB2312" w:hAnsi="黑体" w:eastAsia="仿宋_GB2312" w:cs="Times New Roman"/>
          <w:b/>
          <w:sz w:val="32"/>
          <w:szCs w:val="32"/>
          <w:lang w:val="en-US" w:eastAsia="zh-CN" w:bidi="ar-SA"/>
        </w:rPr>
      </w:pPr>
      <w:r>
        <w:rPr>
          <w:rFonts w:hint="eastAsia" w:ascii="仿宋_GB2312" w:hAnsi="黑体" w:eastAsia="仿宋_GB2312" w:cs="Times New Roman"/>
          <w:b/>
          <w:sz w:val="32"/>
          <w:szCs w:val="32"/>
          <w:lang w:val="en-US" w:eastAsia="zh-CN" w:bidi="ar-SA"/>
        </w:rPr>
        <w:t>（一）部门职责</w:t>
      </w:r>
    </w:p>
    <w:p w14:paraId="290D082A">
      <w:pPr>
        <w:pStyle w:val="4"/>
        <w:spacing w:before="0" w:beforeAutospacing="0" w:after="0" w:afterAutospacing="0" w:line="560" w:lineRule="exact"/>
        <w:ind w:firstLine="482"/>
        <w:jc w:val="both"/>
        <w:rPr>
          <w:rFonts w:ascii="仿宋_GB2312" w:hAnsi="仿宋" w:eastAsia="仿宋_GB2312" w:cs="仿宋"/>
          <w:sz w:val="32"/>
          <w:szCs w:val="32"/>
        </w:rPr>
      </w:pPr>
      <w:r>
        <w:rPr>
          <w:rFonts w:ascii="仿宋_GB2312" w:hAnsi="仿宋" w:eastAsia="仿宋_GB2312" w:cs="仿宋"/>
          <w:sz w:val="32"/>
          <w:szCs w:val="32"/>
        </w:rPr>
        <w:t>1、受</w:t>
      </w:r>
      <w:r>
        <w:rPr>
          <w:rFonts w:ascii="仿宋_GB2312" w:eastAsia="仿宋_GB2312" w:cs="仿宋"/>
          <w:sz w:val="32"/>
          <w:szCs w:val="32"/>
        </w:rPr>
        <w:t>岳阳</w:t>
      </w:r>
      <w:r>
        <w:rPr>
          <w:rFonts w:ascii="仿宋_GB2312" w:hAnsi="仿宋" w:eastAsia="仿宋_GB2312" w:cs="仿宋"/>
          <w:sz w:val="32"/>
          <w:szCs w:val="32"/>
        </w:rPr>
        <w:t>市生态环境局委托，承担辖区内的生态环境相关工作；承担</w:t>
      </w:r>
      <w:r>
        <w:rPr>
          <w:rFonts w:ascii="仿宋_GB2312" w:eastAsia="仿宋_GB2312" w:cs="仿宋"/>
          <w:sz w:val="32"/>
          <w:szCs w:val="32"/>
        </w:rPr>
        <w:t>岳阳</w:t>
      </w:r>
      <w:r>
        <w:rPr>
          <w:rFonts w:ascii="仿宋_GB2312" w:hAnsi="仿宋" w:eastAsia="仿宋_GB2312" w:cs="仿宋"/>
          <w:sz w:val="32"/>
          <w:szCs w:val="32"/>
        </w:rPr>
        <w:t>市生态环境局和</w:t>
      </w:r>
      <w:r>
        <w:rPr>
          <w:rFonts w:ascii="仿宋_GB2312" w:eastAsia="仿宋_GB2312" w:cs="仿宋"/>
          <w:sz w:val="32"/>
          <w:szCs w:val="32"/>
        </w:rPr>
        <w:t>岳阳县</w:t>
      </w:r>
      <w:r>
        <w:rPr>
          <w:rFonts w:ascii="仿宋_GB2312" w:hAnsi="仿宋" w:eastAsia="仿宋_GB2312" w:cs="仿宋"/>
          <w:sz w:val="32"/>
          <w:szCs w:val="32"/>
        </w:rPr>
        <w:t>委、县政府交办的其他任务。</w:t>
      </w:r>
    </w:p>
    <w:p w14:paraId="53177B4E">
      <w:pPr>
        <w:pStyle w:val="4"/>
        <w:spacing w:before="0" w:beforeAutospacing="0" w:after="0" w:afterAutospacing="0" w:line="560" w:lineRule="exact"/>
        <w:ind w:firstLine="482"/>
        <w:jc w:val="both"/>
        <w:rPr>
          <w:rFonts w:ascii="仿宋_GB2312" w:hAnsi="仿宋" w:eastAsia="仿宋_GB2312" w:cs="仿宋"/>
          <w:sz w:val="32"/>
          <w:szCs w:val="32"/>
        </w:rPr>
      </w:pPr>
      <w:r>
        <w:rPr>
          <w:rFonts w:ascii="仿宋_GB2312" w:hAnsi="仿宋" w:eastAsia="仿宋_GB2312" w:cs="仿宋"/>
          <w:sz w:val="32"/>
          <w:szCs w:val="32"/>
        </w:rPr>
        <w:t>2、</w:t>
      </w:r>
      <w:r>
        <w:rPr>
          <w:rFonts w:ascii="仿宋_GB2312" w:eastAsia="仿宋_GB2312"/>
          <w:color w:val="000000"/>
          <w:sz w:val="32"/>
          <w:szCs w:val="32"/>
        </w:rPr>
        <w:t>负责建立健全本辖区环境保护制度；负责全县重大环境问题的统筹协调和监督管理；牵头协调重特大环境污染事故和生态破坏事件的调查处理；协调重特大突发环境事件的应急、预警工作；协调解决环境污染纠纷；统筹协调本县重点流域、区域污染防治工作；落实国家和省、市减排目标；组织实施本县主要污染物排放总量控制和排污许可制度，</w:t>
      </w:r>
      <w:r>
        <w:rPr>
          <w:rFonts w:hint="eastAsia" w:ascii="仿宋_GB2312" w:eastAsia="仿宋_GB2312"/>
          <w:color w:val="000000"/>
          <w:sz w:val="32"/>
          <w:szCs w:val="32"/>
          <w:lang w:eastAsia="zh-CN"/>
        </w:rPr>
        <w:t>提出</w:t>
      </w:r>
      <w:r>
        <w:rPr>
          <w:rFonts w:ascii="仿宋_GB2312" w:eastAsia="仿宋_GB2312"/>
          <w:color w:val="000000"/>
          <w:sz w:val="32"/>
          <w:szCs w:val="32"/>
        </w:rPr>
        <w:t>实施总量控制的污染物名称和控制指标；督查、督办、核查本县污染物减排任务完成情况；负责全县环境污染防治的监督管理；指导、协调、监督全县生态保护工作；负责环境监测和信息发布等工作。</w:t>
      </w:r>
    </w:p>
    <w:p w14:paraId="27259F04">
      <w:pPr>
        <w:widowControl/>
        <w:spacing w:line="560" w:lineRule="exact"/>
        <w:ind w:firstLine="643" w:firstLineChars="200"/>
        <w:rPr>
          <w:rFonts w:hint="eastAsia" w:ascii="仿宋_GB2312" w:hAnsi="黑体" w:eastAsia="仿宋_GB2312"/>
          <w:b/>
          <w:bCs/>
          <w:kern w:val="0"/>
          <w:sz w:val="32"/>
          <w:szCs w:val="32"/>
        </w:rPr>
      </w:pPr>
      <w:r>
        <w:rPr>
          <w:rFonts w:hint="eastAsia" w:ascii="仿宋_GB2312" w:hAnsi="黑体" w:eastAsia="仿宋_GB2312"/>
          <w:b/>
          <w:bCs/>
          <w:kern w:val="0"/>
          <w:sz w:val="32"/>
          <w:szCs w:val="32"/>
        </w:rPr>
        <w:t>（二）机构设置及决算单位构成</w:t>
      </w:r>
    </w:p>
    <w:p w14:paraId="1ADC0E5A">
      <w:pPr>
        <w:pStyle w:val="4"/>
        <w:spacing w:before="0" w:beforeAutospacing="0" w:after="0" w:afterAutospacing="0" w:line="560" w:lineRule="exact"/>
        <w:ind w:firstLine="640" w:firstLineChars="200"/>
        <w:jc w:val="both"/>
        <w:rPr>
          <w:rFonts w:ascii="仿宋_GB2312" w:hAnsi="宋体" w:eastAsia="仿宋_GB2312" w:cs="宋体"/>
          <w:sz w:val="32"/>
          <w:lang w:val="zh-CN"/>
        </w:rPr>
      </w:pPr>
      <w:r>
        <w:rPr>
          <w:rFonts w:ascii="仿宋_GB2312" w:eastAsia="仿宋_GB2312"/>
          <w:sz w:val="32"/>
        </w:rPr>
        <w:t>1、</w:t>
      </w:r>
      <w:r>
        <w:rPr>
          <w:rFonts w:ascii="仿宋_GB2312" w:hAnsi="宋体" w:eastAsia="仿宋_GB2312" w:cs="宋体"/>
          <w:sz w:val="32"/>
          <w:lang w:val="zh-CN"/>
        </w:rPr>
        <w:t>机构设置。</w:t>
      </w:r>
    </w:p>
    <w:p w14:paraId="074E6647">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宋体" w:eastAsia="仿宋_GB2312" w:cs="宋体"/>
          <w:kern w:val="0"/>
          <w:sz w:val="32"/>
          <w:szCs w:val="24"/>
          <w:lang w:val="zh-CN" w:eastAsia="zh-CN" w:bidi="ar-SA"/>
        </w:rPr>
      </w:pPr>
      <w:r>
        <w:rPr>
          <w:rFonts w:hint="eastAsia" w:ascii="仿宋_GB2312" w:hAnsi="宋体" w:eastAsia="仿宋_GB2312" w:cs="宋体"/>
          <w:kern w:val="0"/>
          <w:sz w:val="32"/>
          <w:szCs w:val="24"/>
          <w:lang w:val="zh-CN" w:eastAsia="zh-CN" w:bidi="ar-SA"/>
        </w:rPr>
        <w:t xml:space="preserve"> 岳阳市生态环境局岳阳县分局为岳阳市生态环境局管理的正科级机关（派出机构），单位内设股室13个：办公室、财务股、政工人事股、固体废物管理股、科技监测与生态股、环评与排放管理股、法制宣传股、水环境管理股、土壤环境管理股、大气环境管理股、综合股、工会、后勤中心；副科级机构3个：岳阳县生态环境保护综合执法大队、岳阳县生态环境监测站、岳阳县生态环境事务中心。2025年全局编制核定人数89人，在编在职人数91人，其中：行政及参</w:t>
      </w:r>
      <w:bookmarkStart w:id="0" w:name="_GoBack"/>
      <w:bookmarkEnd w:id="0"/>
      <w:r>
        <w:rPr>
          <w:rFonts w:hint="eastAsia" w:ascii="仿宋_GB2312" w:hAnsi="宋体" w:eastAsia="仿宋_GB2312" w:cs="宋体"/>
          <w:kern w:val="0"/>
          <w:sz w:val="32"/>
          <w:szCs w:val="24"/>
          <w:lang w:val="zh-CN" w:eastAsia="zh-CN" w:bidi="ar-SA"/>
        </w:rPr>
        <w:t>公人员51人，全额事业编制40人；退休35人。</w:t>
      </w:r>
    </w:p>
    <w:p w14:paraId="2232D7D7">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68226F64">
      <w:pPr>
        <w:pStyle w:val="7"/>
        <w:keepNext w:val="0"/>
        <w:keepLines w:val="0"/>
        <w:pageBreakBefore w:val="0"/>
        <w:widowControl/>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7FFC4243">
      <w:pPr>
        <w:spacing w:line="560" w:lineRule="exact"/>
        <w:ind w:firstLine="640" w:firstLineChars="200"/>
        <w:jc w:val="left"/>
        <w:rPr>
          <w:rFonts w:hint="default" w:ascii="Times New Roman" w:hAnsi="Times New Roman" w:eastAsia="楷体_GB2312" w:cs="Times New Roman"/>
          <w:b/>
          <w:sz w:val="32"/>
          <w:szCs w:val="32"/>
          <w:highlight w:val="none"/>
        </w:rPr>
      </w:pP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年基本支出年初预算数为</w:t>
      </w:r>
      <w:r>
        <w:rPr>
          <w:rFonts w:hint="default" w:ascii="仿宋_GB2312" w:hAnsi="仿宋_GB2312" w:eastAsia="仿宋_GB2312" w:cs="仿宋_GB2312"/>
          <w:color w:val="000000"/>
          <w:kern w:val="0"/>
          <w:sz w:val="32"/>
          <w:szCs w:val="32"/>
          <w:lang w:val="en-US" w:eastAsia="zh-CN"/>
        </w:rPr>
        <w:t>1589.66</w:t>
      </w:r>
      <w:r>
        <w:rPr>
          <w:rFonts w:hint="eastAsia" w:ascii="仿宋_GB2312" w:hAnsi="仿宋_GB2312" w:eastAsia="仿宋_GB2312" w:cs="仿宋_GB2312"/>
          <w:color w:val="000000"/>
          <w:kern w:val="0"/>
          <w:sz w:val="32"/>
          <w:szCs w:val="32"/>
        </w:rPr>
        <w:t>万元，决算实际支出数为</w:t>
      </w:r>
      <w:r>
        <w:rPr>
          <w:rFonts w:hint="default" w:ascii="仿宋_GB2312" w:hAnsi="仿宋_GB2312" w:eastAsia="仿宋_GB2312" w:cs="仿宋_GB2312"/>
          <w:color w:val="000000"/>
          <w:kern w:val="0"/>
          <w:sz w:val="32"/>
          <w:szCs w:val="32"/>
          <w:lang w:val="en-US" w:eastAsia="zh-CN"/>
        </w:rPr>
        <w:t>1876.81</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基本支出包括：人员经费</w:t>
      </w:r>
      <w:r>
        <w:rPr>
          <w:rFonts w:hint="eastAsia" w:ascii="仿宋_GB2312" w:hAnsi="仿宋_GB2312" w:eastAsia="仿宋_GB2312" w:cs="仿宋_GB2312"/>
          <w:color w:val="000000"/>
          <w:kern w:val="0"/>
          <w:sz w:val="32"/>
          <w:szCs w:val="32"/>
          <w:lang w:val="en-US" w:eastAsia="zh-CN"/>
        </w:rPr>
        <w:t>1632.26</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公用经费</w:t>
      </w:r>
      <w:r>
        <w:rPr>
          <w:rFonts w:hint="eastAsia" w:ascii="仿宋_GB2312" w:hAnsi="仿宋_GB2312" w:eastAsia="仿宋_GB2312" w:cs="仿宋_GB2312"/>
          <w:color w:val="000000"/>
          <w:kern w:val="0"/>
          <w:sz w:val="32"/>
          <w:szCs w:val="32"/>
          <w:lang w:val="en-US" w:eastAsia="zh-CN"/>
        </w:rPr>
        <w:t>244.55</w:t>
      </w:r>
      <w:r>
        <w:rPr>
          <w:rFonts w:hint="eastAsia" w:ascii="仿宋_GB2312" w:hAnsi="仿宋_GB2312" w:eastAsia="仿宋_GB2312" w:cs="仿宋_GB2312"/>
          <w:color w:val="000000"/>
          <w:kern w:val="0"/>
          <w:sz w:val="32"/>
          <w:szCs w:val="32"/>
        </w:rPr>
        <w:t>万元。</w:t>
      </w:r>
    </w:p>
    <w:p w14:paraId="403D1FE6">
      <w:pPr>
        <w:pStyle w:val="7"/>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项目支出情况</w:t>
      </w:r>
    </w:p>
    <w:p w14:paraId="0ADFAE10">
      <w:pPr>
        <w:pStyle w:val="8"/>
        <w:spacing w:after="0" w:line="560" w:lineRule="exact"/>
        <w:ind w:firstLine="600"/>
        <w:jc w:val="both"/>
        <w:rPr>
          <w:rFonts w:hint="eastAsia" w:ascii="Times New Roman" w:hAnsi="Times New Roman" w:eastAsia="仿宋_GB2312" w:cs="Times New Roman"/>
          <w:b/>
          <w:sz w:val="32"/>
          <w:szCs w:val="32"/>
          <w:highlight w:val="none"/>
          <w:lang w:eastAsia="zh-CN"/>
        </w:rPr>
      </w:pPr>
      <w:r>
        <w:rPr>
          <w:rFonts w:hint="eastAsia" w:ascii="仿宋_GB2312" w:hAnsi="仿宋_GB2312" w:eastAsia="仿宋_GB2312"/>
          <w:color w:val="000000"/>
          <w:kern w:val="0"/>
          <w:sz w:val="32"/>
          <w:lang w:eastAsia="zh-CN"/>
        </w:rPr>
        <w:t>2025</w:t>
      </w:r>
      <w:r>
        <w:rPr>
          <w:rFonts w:hint="eastAsia" w:ascii="仿宋_GB2312" w:hAnsi="仿宋_GB2312" w:eastAsia="仿宋_GB2312"/>
          <w:color w:val="000000"/>
          <w:kern w:val="0"/>
          <w:sz w:val="32"/>
        </w:rPr>
        <w:t>年项目支出年初预算数为69.93万元，决算实际支出数为</w:t>
      </w:r>
      <w:r>
        <w:rPr>
          <w:rFonts w:hint="eastAsia" w:ascii="仿宋_GB2312" w:hAnsi="仿宋_GB2312" w:eastAsia="仿宋_GB2312"/>
          <w:color w:val="000000"/>
          <w:kern w:val="0"/>
          <w:sz w:val="32"/>
          <w:lang w:val="en-US" w:eastAsia="zh-CN"/>
        </w:rPr>
        <w:t>1119.51</w:t>
      </w:r>
      <w:r>
        <w:rPr>
          <w:rFonts w:hint="eastAsia" w:ascii="仿宋_GB2312" w:hAnsi="仿宋_GB2312" w:eastAsia="仿宋_GB2312"/>
          <w:color w:val="000000"/>
          <w:kern w:val="0"/>
          <w:sz w:val="32"/>
        </w:rPr>
        <w:t>万</w:t>
      </w:r>
      <w:r>
        <w:rPr>
          <w:rFonts w:hint="eastAsia" w:ascii="仿宋_GB2312" w:eastAsia="仿宋_GB2312"/>
          <w:kern w:val="0"/>
          <w:sz w:val="32"/>
        </w:rPr>
        <w:t>元</w:t>
      </w:r>
      <w:r>
        <w:rPr>
          <w:rFonts w:hint="eastAsia" w:ascii="仿宋_GB2312" w:hAnsi="仿宋_GB2312" w:eastAsia="仿宋_GB2312"/>
          <w:color w:val="000000"/>
          <w:kern w:val="0"/>
          <w:sz w:val="32"/>
        </w:rPr>
        <w:t>。</w:t>
      </w:r>
      <w:r>
        <w:rPr>
          <w:rFonts w:hint="eastAsia" w:ascii="仿宋_GB2312" w:hAnsi="仿宋" w:eastAsia="仿宋_GB2312"/>
          <w:color w:val="000000"/>
          <w:kern w:val="0"/>
          <w:sz w:val="32"/>
          <w:szCs w:val="32"/>
          <w:lang w:val="en-US" w:eastAsia="zh-CN"/>
        </w:rPr>
        <w:t>主要</w:t>
      </w:r>
      <w:r>
        <w:rPr>
          <w:rFonts w:hint="eastAsia" w:ascii="仿宋_GB2312" w:hAnsi="仿宋" w:eastAsia="仿宋_GB2312"/>
          <w:color w:val="000000"/>
          <w:kern w:val="0"/>
          <w:sz w:val="32"/>
          <w:szCs w:val="32"/>
        </w:rPr>
        <w:t>包括：</w:t>
      </w:r>
      <w:r>
        <w:rPr>
          <w:rFonts w:hint="eastAsia" w:ascii="仿宋_GB2312" w:hAnsi="仿宋" w:eastAsia="仿宋_GB2312"/>
          <w:kern w:val="0"/>
          <w:sz w:val="32"/>
          <w:szCs w:val="32"/>
        </w:rPr>
        <w:t>办案费</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rPr>
        <w:t>环境监测、监控及监察能力建设</w:t>
      </w:r>
      <w:r>
        <w:rPr>
          <w:rFonts w:hint="eastAsia" w:ascii="仿宋_GB2312" w:hAnsi="仿宋" w:eastAsia="仿宋_GB2312"/>
          <w:kern w:val="0"/>
          <w:sz w:val="32"/>
          <w:szCs w:val="32"/>
          <w:lang w:eastAsia="zh-CN"/>
        </w:rPr>
        <w:t>；</w:t>
      </w:r>
      <w:r>
        <w:rPr>
          <w:rFonts w:hint="eastAsia" w:ascii="仿宋_GB2312" w:hAnsi="仿宋" w:eastAsia="仿宋_GB2312"/>
          <w:kern w:val="0"/>
          <w:sz w:val="32"/>
          <w:szCs w:val="32"/>
          <w:lang w:val="en-US" w:eastAsia="zh-CN"/>
        </w:rPr>
        <w:t>大气污染治理专项资金</w:t>
      </w:r>
      <w:r>
        <w:rPr>
          <w:rFonts w:hint="eastAsia" w:ascii="仿宋_GB2312" w:hAnsi="仿宋" w:eastAsia="仿宋_GB2312"/>
          <w:kern w:val="0"/>
          <w:sz w:val="32"/>
          <w:szCs w:val="32"/>
        </w:rPr>
        <w:t>等</w:t>
      </w:r>
      <w:r>
        <w:rPr>
          <w:rFonts w:hint="eastAsia" w:ascii="仿宋_GB2312" w:hAnsi="仿宋" w:eastAsia="仿宋_GB2312"/>
          <w:kern w:val="0"/>
          <w:sz w:val="32"/>
          <w:szCs w:val="32"/>
          <w:lang w:eastAsia="zh-CN"/>
        </w:rPr>
        <w:t>。</w:t>
      </w:r>
    </w:p>
    <w:p w14:paraId="77CFAD50">
      <w:pPr>
        <w:pStyle w:val="7"/>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政府性基金预算支出情况</w:t>
      </w:r>
    </w:p>
    <w:p w14:paraId="56BF7A27">
      <w:pPr>
        <w:spacing w:line="560" w:lineRule="exact"/>
        <w:ind w:firstLine="640" w:firstLineChars="200"/>
        <w:jc w:val="left"/>
        <w:rPr>
          <w:rFonts w:hint="default" w:ascii="Times New Roman" w:hAnsi="Times New Roman" w:eastAsia="黑体" w:cs="Times New Roman"/>
          <w:sz w:val="32"/>
          <w:szCs w:val="32"/>
          <w:highlight w:val="none"/>
        </w:rPr>
      </w:pPr>
      <w:r>
        <w:rPr>
          <w:rFonts w:hint="eastAsia" w:ascii="仿宋_GB2312" w:hAnsi="仿宋_GB2312" w:eastAsia="仿宋_GB2312" w:cs="仿宋_GB2312"/>
          <w:color w:val="000000"/>
          <w:kern w:val="0"/>
          <w:sz w:val="32"/>
          <w:szCs w:val="32"/>
          <w:lang w:val="en-US" w:eastAsia="zh-CN"/>
        </w:rPr>
        <w:t>2025年</w:t>
      </w:r>
      <w:r>
        <w:rPr>
          <w:rFonts w:hint="eastAsia" w:ascii="仿宋_GB2312" w:hAnsi="仿宋_GB2312" w:eastAsia="仿宋_GB2312" w:cs="仿宋_GB2312"/>
          <w:color w:val="000000"/>
          <w:kern w:val="0"/>
          <w:sz w:val="32"/>
          <w:szCs w:val="32"/>
        </w:rPr>
        <w:t>无政府性基金预算支出情况</w:t>
      </w:r>
    </w:p>
    <w:p w14:paraId="25789BEB">
      <w:pPr>
        <w:pStyle w:val="7"/>
        <w:keepNext w:val="0"/>
        <w:keepLines w:val="0"/>
        <w:pageBreakBefore w:val="0"/>
        <w:widowControl/>
        <w:numPr>
          <w:ilvl w:val="0"/>
          <w:numId w:val="0"/>
        </w:numPr>
        <w:kinsoku/>
        <w:wordWrap/>
        <w:overflowPunct/>
        <w:topLinePunct w:val="0"/>
        <w:autoSpaceDE/>
        <w:autoSpaceDN/>
        <w:bidi w:val="0"/>
        <w:adjustRightInd/>
        <w:snapToGrid/>
        <w:spacing w:line="640" w:lineRule="exact"/>
        <w:ind w:leftChars="200"/>
        <w:jc w:val="both"/>
        <w:textAlignment w:val="auto"/>
        <w:rPr>
          <w:rFonts w:hint="default" w:ascii="仿宋" w:hAnsi="仿宋" w:eastAsia="仿宋" w:cs="仿宋"/>
          <w:kern w:val="0"/>
          <w:sz w:val="31"/>
          <w:szCs w:val="31"/>
          <w:lang w:val="en-US" w:eastAsia="zh-CN" w:bidi="ar-SA"/>
        </w:rPr>
      </w:pPr>
      <w:r>
        <w:rPr>
          <w:rFonts w:hint="eastAsia"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国有资本经营预算支出情况</w:t>
      </w:r>
    </w:p>
    <w:p w14:paraId="6972B09E">
      <w:pPr>
        <w:pStyle w:val="2"/>
        <w:ind w:firstLine="620"/>
        <w:rPr>
          <w:rFonts w:hint="eastAsia" w:ascii="仿宋" w:hAnsi="仿宋" w:eastAsia="仿宋" w:cs="仿宋"/>
          <w:kern w:val="0"/>
          <w:sz w:val="31"/>
          <w:szCs w:val="31"/>
          <w:lang w:val="en-US" w:eastAsia="zh-CN" w:bidi="ar-SA"/>
        </w:rPr>
      </w:pPr>
      <w:r>
        <w:rPr>
          <w:rFonts w:hint="eastAsia" w:ascii="仿宋" w:hAnsi="仿宋" w:eastAsia="仿宋" w:cs="仿宋"/>
          <w:kern w:val="0"/>
          <w:sz w:val="31"/>
          <w:szCs w:val="31"/>
          <w:lang w:val="en-US" w:eastAsia="zh-CN" w:bidi="ar-SA"/>
        </w:rPr>
        <w:t>2025年项目支出中的县级财政项目504.48万元，其中20万元为</w:t>
      </w:r>
      <w:r>
        <w:rPr>
          <w:rFonts w:hint="default" w:ascii="仿宋" w:hAnsi="仿宋" w:eastAsia="仿宋" w:cs="仿宋"/>
          <w:kern w:val="0"/>
          <w:sz w:val="31"/>
          <w:szCs w:val="31"/>
          <w:lang w:val="en-US" w:eastAsia="zh-CN" w:bidi="ar-SA"/>
        </w:rPr>
        <w:t>国有资本经营预算支出</w:t>
      </w:r>
      <w:r>
        <w:rPr>
          <w:rFonts w:hint="eastAsia" w:ascii="仿宋" w:hAnsi="仿宋" w:eastAsia="仿宋" w:cs="仿宋"/>
          <w:kern w:val="0"/>
          <w:sz w:val="31"/>
          <w:szCs w:val="31"/>
          <w:lang w:val="en-US" w:eastAsia="zh-CN" w:bidi="ar-SA"/>
        </w:rPr>
        <w:t>，主要用于付岳阳县第一中学空气自动站搬迁费用10万元，付县一中空气自动站开支10万元。</w:t>
      </w:r>
    </w:p>
    <w:p w14:paraId="7CDDDB73">
      <w:pPr>
        <w:pStyle w:val="7"/>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社会保险基金预算支出情况</w:t>
      </w:r>
    </w:p>
    <w:p w14:paraId="6ACBE9CA">
      <w:pPr>
        <w:spacing w:line="560" w:lineRule="exact"/>
        <w:ind w:firstLine="640" w:firstLineChars="200"/>
        <w:jc w:val="left"/>
        <w:rPr>
          <w:rFonts w:hint="default" w:ascii="Times New Roman" w:hAnsi="Times New Roman" w:eastAsia="黑体" w:cs="Times New Roman"/>
          <w:sz w:val="32"/>
          <w:szCs w:val="32"/>
          <w:highlight w:val="none"/>
        </w:rPr>
      </w:pPr>
      <w:r>
        <w:rPr>
          <w:rFonts w:hint="eastAsia" w:ascii="仿宋_GB2312" w:hAnsi="仿宋_GB2312" w:eastAsia="仿宋_GB2312" w:cs="仿宋_GB2312"/>
          <w:color w:val="000000"/>
          <w:kern w:val="0"/>
          <w:sz w:val="32"/>
          <w:szCs w:val="32"/>
          <w:lang w:val="en-US" w:eastAsia="zh-CN"/>
        </w:rPr>
        <w:t>2025年</w:t>
      </w:r>
      <w:r>
        <w:rPr>
          <w:rFonts w:hint="eastAsia" w:ascii="仿宋_GB2312" w:hAnsi="仿宋_GB2312" w:eastAsia="仿宋_GB2312" w:cs="仿宋_GB2312"/>
          <w:color w:val="000000"/>
          <w:kern w:val="0"/>
          <w:sz w:val="32"/>
          <w:szCs w:val="32"/>
        </w:rPr>
        <w:t>无社会保险基金预算支出情况</w:t>
      </w:r>
    </w:p>
    <w:p w14:paraId="43250A65">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5D3A84E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 xml:space="preserve">一）部门资金情况分析 </w:t>
      </w:r>
    </w:p>
    <w:p w14:paraId="556332B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预算执行率为</w:t>
      </w:r>
      <w:r>
        <w:rPr>
          <w:rFonts w:hint="eastAsia" w:ascii="Times New Roman" w:hAnsi="Times New Roman" w:eastAsia="仿宋_GB2312" w:cs="Times New Roman"/>
          <w:color w:val="000000"/>
          <w:sz w:val="32"/>
          <w:szCs w:val="32"/>
          <w:highlight w:val="none"/>
          <w:lang w:val="en-US" w:eastAsia="zh-CN"/>
        </w:rPr>
        <w:t>87.21</w:t>
      </w:r>
      <w:r>
        <w:rPr>
          <w:rFonts w:hint="default" w:ascii="Times New Roman" w:hAnsi="Times New Roman" w:eastAsia="仿宋_GB2312" w:cs="Times New Roman"/>
          <w:color w:val="000000"/>
          <w:sz w:val="32"/>
          <w:szCs w:val="32"/>
          <w:highlight w:val="none"/>
        </w:rPr>
        <w:t>%，总体情况良好。</w:t>
      </w:r>
    </w:p>
    <w:p w14:paraId="612520E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（二）项目绩效指标完成情况分析</w:t>
      </w:r>
    </w:p>
    <w:p w14:paraId="3021711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1.履职效能情况分析 </w:t>
      </w:r>
    </w:p>
    <w:p w14:paraId="28D7F074">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2025</w:t>
      </w:r>
      <w:r>
        <w:rPr>
          <w:rFonts w:hint="default" w:ascii="Times New Roman" w:hAnsi="Times New Roman" w:eastAsia="仿宋_GB2312" w:cs="Times New Roman"/>
          <w:color w:val="000000"/>
          <w:sz w:val="32"/>
          <w:szCs w:val="32"/>
          <w:highlight w:val="none"/>
        </w:rPr>
        <w:t>年，我县空气质量综合指数3.04，并列67名，较上年同期改善1%</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优良率</w:t>
      </w:r>
      <w:r>
        <w:rPr>
          <w:rFonts w:hint="eastAsia" w:ascii="Times New Roman" w:hAnsi="Times New Roman" w:eastAsia="仿宋_GB2312" w:cs="Times New Roman"/>
          <w:color w:val="000000"/>
          <w:sz w:val="32"/>
          <w:szCs w:val="32"/>
          <w:highlight w:val="none"/>
          <w:lang w:val="en-US" w:eastAsia="zh-CN"/>
        </w:rPr>
        <w:t>92.4</w:t>
      </w:r>
      <w:r>
        <w:rPr>
          <w:rFonts w:hint="default" w:ascii="Times New Roman" w:hAnsi="Times New Roman" w:eastAsia="仿宋_GB2312" w:cs="Times New Roman"/>
          <w:color w:val="000000"/>
          <w:sz w:val="32"/>
          <w:szCs w:val="32"/>
          <w:highlight w:val="none"/>
        </w:rPr>
        <w:t>%；PM2.5浓度</w:t>
      </w:r>
      <w:r>
        <w:rPr>
          <w:rFonts w:ascii="微软雅黑" w:hAnsi="微软雅黑" w:eastAsia="微软雅黑" w:cs="微软雅黑"/>
          <w:i w:val="0"/>
          <w:iCs w:val="0"/>
          <w:caps w:val="0"/>
          <w:color w:val="333333"/>
          <w:spacing w:val="0"/>
          <w:sz w:val="24"/>
          <w:szCs w:val="24"/>
          <w:shd w:val="clear" w:fill="FFFFFF"/>
        </w:rPr>
        <w:t>29.07ug/m3</w:t>
      </w:r>
      <w:r>
        <w:rPr>
          <w:rFonts w:hint="default" w:ascii="Times New Roman" w:hAnsi="Times New Roman" w:eastAsia="仿宋_GB2312" w:cs="Times New Roman"/>
          <w:color w:val="000000"/>
          <w:sz w:val="32"/>
          <w:szCs w:val="32"/>
          <w:highlight w:val="none"/>
        </w:rPr>
        <w:t>；岳阳县4个省控水质监测断面均达到地表水Ⅱ类标准；3个国控水质监测断面除总磷外各项指标均达到Ⅲ类水质标准，均达到省级考核目标；县级及以上集中式饮用水水源地水质达标率稳定保持100%。我县无高风险污染地块，受污染耕地安全利用率达到92%以上，土壤环境质量符合环境功能要求。完成了4</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项“夏季攻势”整治任务</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完成10个洞庭湖总磷污染控制与削减项目、饮用水源地评估与保护区划定、入河排污口排查溯源“一口一策”方案编制工作，稳步推进小饶港水库生态环境综合整治和山水项目；全年未发生重大环境污染事故、重大生态破坏事件以及因环境问题引发的群体性事件。</w:t>
      </w:r>
    </w:p>
    <w:p w14:paraId="2417EB07">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2.管理效率情况分析</w:t>
      </w:r>
    </w:p>
    <w:p w14:paraId="7CF75F9E">
      <w:pPr>
        <w:keepNext w:val="0"/>
        <w:keepLines w:val="0"/>
        <w:pageBreakBefore w:val="0"/>
        <w:widowControl/>
        <w:kinsoku/>
        <w:wordWrap/>
        <w:overflowPunct/>
        <w:topLinePunct w:val="0"/>
        <w:autoSpaceDE/>
        <w:autoSpaceDN/>
        <w:bidi w:val="0"/>
        <w:adjustRightInd/>
        <w:snapToGrid/>
        <w:spacing w:line="640" w:lineRule="exact"/>
        <w:ind w:firstLine="600" w:firstLineChars="200"/>
        <w:jc w:val="both"/>
        <w:textAlignment w:val="auto"/>
        <w:rPr>
          <w:rFonts w:hint="default" w:ascii="Times New Roman" w:hAnsi="Times New Roman" w:eastAsia="仿宋_GB2312" w:cs="Times New Roman"/>
          <w:color w:val="000000"/>
          <w:sz w:val="32"/>
          <w:szCs w:val="32"/>
          <w:highlight w:val="none"/>
        </w:rPr>
      </w:pPr>
      <w:r>
        <w:rPr>
          <w:rFonts w:hint="eastAsia" w:ascii="仿宋" w:hAnsi="仿宋" w:eastAsia="仿宋" w:cs="仿宋"/>
          <w:snapToGrid/>
          <w:kern w:val="0"/>
          <w:sz w:val="30"/>
          <w:szCs w:val="30"/>
          <w:lang w:val="en-US" w:eastAsia="zh-CN"/>
        </w:rPr>
        <w:t>坚决执行经费预算管理，在厉行节约、反对铺张浪费等方面，严格落实厉行节约的原则，并取得了明显成效。严格按照预算规划执行各项支出，并根据实际工作需要，适时调整和优化支出结构，确保了各项工作的顺利开展。</w:t>
      </w:r>
    </w:p>
    <w:p w14:paraId="1D02FE99">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 xml:space="preserve">3.运行成本控制情况分析 </w:t>
      </w:r>
    </w:p>
    <w:p w14:paraId="004EF4C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“三公经费”、公用经费均控制在预算范围内。</w:t>
      </w:r>
    </w:p>
    <w:p w14:paraId="01D501D5">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4.服务满意度指标完成情况分析</w:t>
      </w:r>
    </w:p>
    <w:p w14:paraId="3386F06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2025</w:t>
      </w:r>
      <w:r>
        <w:rPr>
          <w:rFonts w:hint="default" w:ascii="Times New Roman" w:hAnsi="Times New Roman" w:eastAsia="仿宋_GB2312" w:cs="Times New Roman"/>
          <w:color w:val="000000"/>
          <w:sz w:val="32"/>
          <w:szCs w:val="32"/>
          <w:highlight w:val="none"/>
        </w:rPr>
        <w:t>年，我分局共受理群众诉求</w:t>
      </w:r>
      <w:r>
        <w:rPr>
          <w:rFonts w:hint="eastAsia" w:ascii="Times New Roman" w:hAnsi="Times New Roman" w:eastAsia="仿宋_GB2312" w:cs="Times New Roman"/>
          <w:color w:val="000000"/>
          <w:sz w:val="32"/>
          <w:szCs w:val="32"/>
          <w:highlight w:val="none"/>
          <w:lang w:val="en-US" w:eastAsia="zh-CN"/>
        </w:rPr>
        <w:t>354</w:t>
      </w:r>
      <w:r>
        <w:rPr>
          <w:rFonts w:hint="default" w:ascii="Times New Roman" w:hAnsi="Times New Roman" w:eastAsia="仿宋_GB2312" w:cs="Times New Roman"/>
          <w:color w:val="000000"/>
          <w:sz w:val="32"/>
          <w:szCs w:val="32"/>
          <w:highlight w:val="none"/>
        </w:rPr>
        <w:t>起，均在规定时间内完成办结，回复率100%，满意率95%以上。</w:t>
      </w:r>
    </w:p>
    <w:p w14:paraId="2840F43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5.可持续性影响情况分析</w:t>
      </w:r>
    </w:p>
    <w:p w14:paraId="5A9B3AA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2025</w:t>
      </w:r>
      <w:r>
        <w:rPr>
          <w:rFonts w:hint="default" w:ascii="Times New Roman" w:hAnsi="Times New Roman" w:eastAsia="仿宋_GB2312" w:cs="Times New Roman"/>
          <w:color w:val="000000"/>
          <w:sz w:val="32"/>
          <w:szCs w:val="32"/>
          <w:highlight w:val="none"/>
        </w:rPr>
        <w:t>年，</w:t>
      </w:r>
      <w:r>
        <w:rPr>
          <w:rFonts w:hint="eastAsia" w:ascii="Times New Roman" w:hAnsi="Times New Roman" w:eastAsia="仿宋_GB2312" w:cs="Times New Roman"/>
          <w:color w:val="000000"/>
          <w:sz w:val="32"/>
          <w:szCs w:val="32"/>
          <w:highlight w:val="none"/>
          <w:lang w:eastAsia="zh-CN"/>
        </w:rPr>
        <w:t>我分局</w:t>
      </w:r>
      <w:r>
        <w:rPr>
          <w:rFonts w:hint="default" w:ascii="Times New Roman" w:hAnsi="Times New Roman" w:eastAsia="仿宋_GB2312" w:cs="Times New Roman"/>
          <w:color w:val="000000"/>
          <w:sz w:val="32"/>
          <w:szCs w:val="32"/>
          <w:highlight w:val="none"/>
        </w:rPr>
        <w:t>精准施策，环境质量在压力叠加中实现改善。大气环境质量提档进位。水环境质量持续改善。土壤环境安全稳定。营商环境不断优化。风险隐患管控有力。</w:t>
      </w:r>
      <w:r>
        <w:rPr>
          <w:rFonts w:hint="eastAsia" w:ascii="Times New Roman" w:hAnsi="Times New Roman" w:eastAsia="仿宋_GB2312" w:cs="Times New Roman"/>
          <w:color w:val="000000"/>
          <w:sz w:val="32"/>
          <w:szCs w:val="32"/>
          <w:highlight w:val="none"/>
          <w:lang w:eastAsia="zh-CN"/>
        </w:rPr>
        <w:t>2025</w:t>
      </w:r>
      <w:r>
        <w:rPr>
          <w:rFonts w:hint="default" w:ascii="Times New Roman" w:hAnsi="Times New Roman" w:eastAsia="仿宋_GB2312" w:cs="Times New Roman"/>
          <w:color w:val="000000"/>
          <w:sz w:val="32"/>
          <w:szCs w:val="32"/>
          <w:highlight w:val="none"/>
        </w:rPr>
        <w:t>年全县未发生较大及以上环境安全事故和生态破坏事件。</w:t>
      </w:r>
    </w:p>
    <w:p w14:paraId="66C1E133">
      <w:pPr>
        <w:pStyle w:val="7"/>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3D4F75E4">
      <w:pPr>
        <w:widowControl/>
        <w:spacing w:line="560" w:lineRule="exact"/>
        <w:ind w:firstLine="640" w:firstLineChars="200"/>
        <w:rPr>
          <w:rFonts w:hint="eastAsia"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一是环境质量巩固压力大，国控断面总磷未达市级考核目标，大气污染受输入性因素和秸秆焚烧反弹影响显著；</w:t>
      </w:r>
    </w:p>
    <w:p w14:paraId="21B52EE2">
      <w:pPr>
        <w:widowControl/>
        <w:spacing w:line="560" w:lineRule="exact"/>
        <w:ind w:firstLine="640" w:firstLineChars="200"/>
        <w:rPr>
          <w:rFonts w:hint="eastAsia"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二是重点生态功能区监管存在盲区，网络舆情风险较高；</w:t>
      </w:r>
    </w:p>
    <w:p w14:paraId="1C53DB9B">
      <w:pPr>
        <w:widowControl/>
        <w:spacing w:line="560" w:lineRule="exact"/>
        <w:ind w:firstLine="640" w:firstLineChars="200"/>
        <w:rPr>
          <w:rFonts w:hint="eastAsia"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三是环保基础设施短板突出，投入不足、设施老旧，精准治污能力有待提升。</w:t>
      </w:r>
    </w:p>
    <w:p w14:paraId="3EA01C07">
      <w:pPr>
        <w:widowControl/>
        <w:spacing w:line="560" w:lineRule="exact"/>
        <w:ind w:firstLine="640" w:firstLineChars="200"/>
        <w:rPr>
          <w:rFonts w:hint="default"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四是队伍综合素质有待提高。部分执法人员主动担当作为不够，发现问题、处理问题、应对问题的能力还有待提高。</w:t>
      </w:r>
    </w:p>
    <w:p w14:paraId="3BC289C5">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下一步改进措施</w:t>
      </w:r>
    </w:p>
    <w:p w14:paraId="50945F9A">
      <w:pPr>
        <w:widowControl/>
        <w:spacing w:line="560" w:lineRule="exact"/>
        <w:ind w:firstLine="640" w:firstLineChars="200"/>
        <w:rPr>
          <w:rFonts w:hint="eastAsia"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加强财务管理，严格财务审批。在费用报账支付时，按照预算规定的费用项目和用途进行资金使用、审核，列报支付，财务核算杜绝超支现象的发生。</w:t>
      </w:r>
    </w:p>
    <w:p w14:paraId="1737494C">
      <w:pPr>
        <w:widowControl/>
        <w:spacing w:line="560" w:lineRule="exact"/>
        <w:ind w:firstLine="640" w:firstLineChars="200"/>
        <w:rPr>
          <w:rFonts w:hint="eastAsia"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加强培训。建议多开展部门整体绩效评价工作的业务工作培训，组织开展部门之间、单位之间的经验交流，特别是要组织非财务部门的人员参与评价工作，切实推进绩效评价工作的开展。</w:t>
      </w:r>
    </w:p>
    <w:p w14:paraId="7EE75AC0">
      <w:pPr>
        <w:widowControl/>
        <w:spacing w:line="560" w:lineRule="exact"/>
        <w:ind w:firstLine="640" w:firstLineChars="200"/>
        <w:rPr>
          <w:rFonts w:hint="default" w:ascii="仿宋_GB2312" w:hAnsi="Times New Roman" w:eastAsia="仿宋_GB2312" w:cs="Times New Roman"/>
          <w:kern w:val="0"/>
          <w:sz w:val="32"/>
          <w:szCs w:val="32"/>
          <w:lang w:val="en-US" w:eastAsia="zh-CN"/>
        </w:rPr>
      </w:pPr>
      <w:r>
        <w:rPr>
          <w:rFonts w:hint="eastAsia" w:ascii="仿宋_GB2312" w:hAnsi="Times New Roman" w:eastAsia="仿宋_GB2312" w:cs="Times New Roman"/>
          <w:kern w:val="0"/>
          <w:sz w:val="32"/>
          <w:szCs w:val="32"/>
          <w:lang w:val="en-US" w:eastAsia="zh-CN"/>
        </w:rPr>
        <w:t>保持大气、水环境、土壤环境质量良好状态，达到考核标准，统筹抓好整改，完成上级交办的突出环境问题整治任务，保障全年不发生重大环境污染事故和重大生态破坏事件。</w:t>
      </w:r>
    </w:p>
    <w:p w14:paraId="63F30B5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3E98E01A">
      <w:pPr>
        <w:widowControl/>
        <w:spacing w:line="560" w:lineRule="exact"/>
        <w:ind w:firstLine="640" w:firstLineChars="200"/>
        <w:rPr>
          <w:rFonts w:hint="default" w:ascii="仿宋_GB2312" w:hAnsi="Times New Roman" w:eastAsia="仿宋_GB2312"/>
          <w:kern w:val="0"/>
          <w:sz w:val="32"/>
          <w:szCs w:val="32"/>
          <w:lang w:val="en-US" w:eastAsia="zh-CN"/>
        </w:rPr>
      </w:pPr>
      <w:r>
        <w:rPr>
          <w:rFonts w:hint="eastAsia" w:ascii="仿宋_GB2312" w:hAnsi="Times New Roman" w:eastAsia="仿宋_GB2312"/>
          <w:kern w:val="0"/>
          <w:sz w:val="32"/>
          <w:szCs w:val="32"/>
          <w:lang w:val="en-US" w:eastAsia="zh-CN"/>
        </w:rPr>
        <w:t>本单位高度重视预算支出绩效自评工作，积极落实主体责任，成立预算绩效管理领导小组，加强组织领导，按照绩效</w:t>
      </w:r>
      <w:r>
        <w:rPr>
          <w:rFonts w:hint="eastAsia" w:ascii="仿宋_GB2312" w:hAnsi="Times New Roman" w:eastAsia="仿宋_GB2312"/>
          <w:kern w:val="0"/>
          <w:sz w:val="32"/>
          <w:szCs w:val="32"/>
        </w:rPr>
        <w:t>管理</w:t>
      </w:r>
      <w:r>
        <w:rPr>
          <w:rFonts w:hint="eastAsia" w:ascii="仿宋_GB2312" w:hAnsi="Times New Roman" w:eastAsia="仿宋_GB2312"/>
          <w:kern w:val="0"/>
          <w:sz w:val="32"/>
          <w:szCs w:val="32"/>
          <w:lang w:val="en-US" w:eastAsia="zh-CN"/>
        </w:rPr>
        <w:t>工作方案和绩效评价相关制度规定，认真开展自评，确保绩效自评工作顺利实施，并按照要求进行信息公开，对存在的问题积极整改。</w:t>
      </w:r>
    </w:p>
    <w:p w14:paraId="7CF78E2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十、</w:t>
      </w:r>
      <w:r>
        <w:rPr>
          <w:rFonts w:hint="default" w:ascii="Times New Roman" w:hAnsi="Times New Roman" w:eastAsia="黑体" w:cs="Times New Roman"/>
          <w:sz w:val="32"/>
          <w:szCs w:val="32"/>
          <w:highlight w:val="none"/>
        </w:rPr>
        <w:t>其他需要说明的情况</w:t>
      </w:r>
    </w:p>
    <w:p w14:paraId="6C5D2B3F">
      <w:pPr>
        <w:spacing w:line="560" w:lineRule="exact"/>
        <w:ind w:firstLine="640" w:firstLineChars="200"/>
        <w:jc w:val="left"/>
        <w:rPr>
          <w:rFonts w:hint="eastAsia" w:ascii="Times New Roman" w:hAnsi="Times New Roman" w:eastAsia="仿宋_GB2312"/>
          <w:kern w:val="0"/>
          <w:sz w:val="32"/>
          <w:szCs w:val="32"/>
          <w:lang w:eastAsia="zh-CN"/>
        </w:rPr>
      </w:pPr>
      <w:r>
        <w:rPr>
          <w:rFonts w:hint="eastAsia" w:ascii="Times New Roman" w:hAnsi="Times New Roman" w:eastAsia="仿宋_GB2312"/>
          <w:kern w:val="0"/>
          <w:sz w:val="32"/>
          <w:szCs w:val="32"/>
          <w:lang w:eastAsia="zh-CN"/>
        </w:rPr>
        <w:t>无。</w:t>
      </w:r>
    </w:p>
    <w:p w14:paraId="3EC1DEF5">
      <w:pPr>
        <w:pStyle w:val="2"/>
        <w:rPr>
          <w:rFonts w:hint="default"/>
        </w:rPr>
      </w:pPr>
    </w:p>
    <w:p w14:paraId="16AE5C31">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0539F5C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14:paraId="6B716FC3">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14:paraId="2815461C">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p>
    <w:p w14:paraId="2AA7891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报告需要以下附件：</w:t>
      </w:r>
    </w:p>
    <w:p w14:paraId="6EC4202E">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1A535F1F">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6A6C02E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项目支出绩效自评表（一个一级项目支出一张表）</w:t>
      </w:r>
    </w:p>
    <w:p w14:paraId="5A20A45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政府性基金预算支出情况表</w:t>
      </w:r>
    </w:p>
    <w:p w14:paraId="51DACDA8">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国有资本经营预算支出情况表</w:t>
      </w:r>
    </w:p>
    <w:p w14:paraId="06C6B0F6">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社会保险基金预算支出情况表</w:t>
      </w:r>
    </w:p>
    <w:p w14:paraId="7D64B2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64FD16"/>
    <w:multiLevelType w:val="singleLevel"/>
    <w:tmpl w:val="C764FD16"/>
    <w:lvl w:ilvl="0" w:tentative="0">
      <w:start w:val="1"/>
      <w:numFmt w:val="chineseCounting"/>
      <w:suff w:val="nothing"/>
      <w:lvlText w:val="%1、"/>
      <w:lvlJc w:val="left"/>
      <w:rPr>
        <w:rFonts w:hint="eastAsia"/>
        <w:b/>
        <w:bCs/>
      </w:rPr>
    </w:lvl>
  </w:abstractNum>
  <w:abstractNum w:abstractNumId="1">
    <w:nsid w:val="E338237D"/>
    <w:multiLevelType w:val="singleLevel"/>
    <w:tmpl w:val="E338237D"/>
    <w:lvl w:ilvl="0" w:tentative="0">
      <w:start w:val="8"/>
      <w:numFmt w:val="chineseCounting"/>
      <w:suff w:val="nothing"/>
      <w:lvlText w:val="%1、"/>
      <w:lvlJc w:val="left"/>
      <w:rPr>
        <w:rFonts w:hint="eastAsia"/>
      </w:rPr>
    </w:lvl>
  </w:abstractNum>
  <w:abstractNum w:abstractNumId="2">
    <w:nsid w:val="EAF602F1"/>
    <w:multiLevelType w:val="singleLevel"/>
    <w:tmpl w:val="EAF602F1"/>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F43847"/>
    <w:rsid w:val="019C2A3A"/>
    <w:rsid w:val="02296E92"/>
    <w:rsid w:val="06A74829"/>
    <w:rsid w:val="0AFD318D"/>
    <w:rsid w:val="0B0E131B"/>
    <w:rsid w:val="0E134225"/>
    <w:rsid w:val="11A11963"/>
    <w:rsid w:val="13313DF9"/>
    <w:rsid w:val="13AE5449"/>
    <w:rsid w:val="15170DCC"/>
    <w:rsid w:val="167D1103"/>
    <w:rsid w:val="1F240CB5"/>
    <w:rsid w:val="2180387B"/>
    <w:rsid w:val="23D26F32"/>
    <w:rsid w:val="25457290"/>
    <w:rsid w:val="266627CD"/>
    <w:rsid w:val="28B77862"/>
    <w:rsid w:val="2A3F4BF5"/>
    <w:rsid w:val="304B42F4"/>
    <w:rsid w:val="309335A5"/>
    <w:rsid w:val="32081D71"/>
    <w:rsid w:val="327D62BB"/>
    <w:rsid w:val="3304433F"/>
    <w:rsid w:val="37152F66"/>
    <w:rsid w:val="38F90665"/>
    <w:rsid w:val="39875C71"/>
    <w:rsid w:val="39932868"/>
    <w:rsid w:val="3B3F4A55"/>
    <w:rsid w:val="4194717D"/>
    <w:rsid w:val="41A970CC"/>
    <w:rsid w:val="41E165FD"/>
    <w:rsid w:val="45B24076"/>
    <w:rsid w:val="4D007DBC"/>
    <w:rsid w:val="4DF96CE5"/>
    <w:rsid w:val="4E6A373F"/>
    <w:rsid w:val="500E27F0"/>
    <w:rsid w:val="51764AF1"/>
    <w:rsid w:val="52741030"/>
    <w:rsid w:val="55B41744"/>
    <w:rsid w:val="57105B1C"/>
    <w:rsid w:val="586C6306"/>
    <w:rsid w:val="58953AAF"/>
    <w:rsid w:val="596077FA"/>
    <w:rsid w:val="5DAA1DAA"/>
    <w:rsid w:val="62B40FD5"/>
    <w:rsid w:val="62F43847"/>
    <w:rsid w:val="62FB6C04"/>
    <w:rsid w:val="6A794FDE"/>
    <w:rsid w:val="6BBB5183"/>
    <w:rsid w:val="6D0668D1"/>
    <w:rsid w:val="6DF80910"/>
    <w:rsid w:val="726D4139"/>
    <w:rsid w:val="72807BCE"/>
    <w:rsid w:val="77040B6F"/>
    <w:rsid w:val="786D3CA8"/>
    <w:rsid w:val="7FF2085F"/>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Times New Roman"/>
      <w:kern w:val="0"/>
      <w:sz w:val="28"/>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5"/>
    <w:basedOn w:val="1"/>
    <w:next w:val="1"/>
    <w:qFormat/>
    <w:uiPriority w:val="0"/>
    <w:pPr>
      <w:ind w:left="1680" w:leftChars="800"/>
    </w:pPr>
    <w:rPr>
      <w:rFonts w:hint="eastAsia" w:ascii="Times New Roman" w:hAnsi="Times New Roman" w:eastAsia="宋体" w:cs="Times New Roman"/>
      <w:sz w:val="21"/>
      <w:szCs w:val="24"/>
    </w:rPr>
  </w:style>
  <w:style w:type="paragraph" w:styleId="4">
    <w:name w:val="Normal (Web)"/>
    <w:qFormat/>
    <w:uiPriority w:val="0"/>
    <w:pPr>
      <w:widowControl w:val="0"/>
      <w:spacing w:before="100" w:beforeAutospacing="1" w:after="100" w:afterAutospacing="1"/>
      <w:jc w:val="left"/>
    </w:pPr>
    <w:rPr>
      <w:rFonts w:hint="eastAsia" w:ascii="Times New Roman" w:hAnsi="Times New Roman" w:eastAsia="宋体" w:cs="Times New Roman"/>
      <w:kern w:val="0"/>
      <w:sz w:val="24"/>
      <w:szCs w:val="24"/>
      <w:lang w:val="en-US" w:eastAsia="zh-CN" w:bidi="ar-SA"/>
    </w:rPr>
  </w:style>
  <w:style w:type="paragraph" w:styleId="7">
    <w:name w:val="List Paragraph"/>
    <w:basedOn w:val="1"/>
    <w:autoRedefine/>
    <w:qFormat/>
    <w:uiPriority w:val="99"/>
    <w:pPr>
      <w:ind w:firstLine="420" w:firstLineChars="200"/>
    </w:pPr>
    <w:rPr>
      <w:rFonts w:ascii="Calibri" w:hAnsi="Calibri"/>
      <w:szCs w:val="22"/>
    </w:rPr>
  </w:style>
  <w:style w:type="paragraph" w:customStyle="1" w:styleId="8">
    <w:name w:val="Body text|1"/>
    <w:autoRedefine/>
    <w:qFormat/>
    <w:uiPriority w:val="0"/>
    <w:pPr>
      <w:widowControl w:val="0"/>
      <w:spacing w:after="60" w:line="454" w:lineRule="auto"/>
      <w:ind w:firstLine="400"/>
      <w:jc w:val="left"/>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946</Words>
  <Characters>1280</Characters>
  <Lines>0</Lines>
  <Paragraphs>0</Paragraphs>
  <TotalTime>0</TotalTime>
  <ScaleCrop>false</ScaleCrop>
  <LinksUpToDate>false</LinksUpToDate>
  <CharactersWithSpaces>1391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2026-06-07T02:42:00Z</dcterms:created>
  <dc:creator>李晨</dc:creator>
  <cp:lastModifiedBy>李晨</cp:lastModifiedBy>
  <dcterms:modified xsi:type="dcterms:W3CDTF">2026-06-08T01:54:10Z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76F911FC5F35483BB8B973FB3BB14DAC_13</vt:lpwstr>
  </property>
  <property fmtid="{D5CDD505-2E9C-101B-9397-08002B2CF9AE}" pid="4" name="KSOTemplateDocerSaveRecord">
    <vt:lpwstr>eyJoZGlkIjoiNTJkZGY2NTg4NjcwZGMzZmU2OGY1MGNlNzZiNmFmY2UiLCJ1c2VySWQiOiIyNDA2NTM0MjMifQ==</vt:lpwstr>
  </property>
</Properties>
</file>