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79E6C">
      <w:pPr>
        <w:keepNext w:val="0"/>
        <w:keepLines w:val="0"/>
        <w:pageBreakBefore w:val="0"/>
        <w:widowControl w:val="0"/>
        <w:kinsoku/>
        <w:overflowPunct/>
        <w:topLinePunct w:val="0"/>
        <w:autoSpaceDE/>
        <w:autoSpaceDN/>
        <w:bidi w:val="0"/>
        <w:adjustRightInd/>
        <w:snapToGrid/>
        <w:spacing w:after="0" w:afterLines="0" w:line="500" w:lineRule="exact"/>
        <w:ind w:firstLine="640" w:firstLineChars="20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4</w:t>
      </w:r>
    </w:p>
    <w:p w14:paraId="629A1C4D">
      <w:pPr>
        <w:pStyle w:val="2"/>
        <w:rPr>
          <w:rFonts w:hint="eastAsia"/>
        </w:rPr>
      </w:pPr>
    </w:p>
    <w:p w14:paraId="2C7D4841">
      <w:pPr>
        <w:keepNext w:val="0"/>
        <w:keepLines w:val="0"/>
        <w:pageBreakBefore w:val="0"/>
        <w:widowControl w:val="0"/>
        <w:kinsoku/>
        <w:overflowPunct/>
        <w:topLinePunct w:val="0"/>
        <w:autoSpaceDE/>
        <w:autoSpaceDN/>
        <w:bidi w:val="0"/>
        <w:adjustRightInd/>
        <w:snapToGrid/>
        <w:ind w:firstLine="880" w:firstLineChars="200"/>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岳阳市房地产交易中心</w:t>
      </w:r>
    </w:p>
    <w:p w14:paraId="7D764B0C">
      <w:pPr>
        <w:keepNext w:val="0"/>
        <w:keepLines w:val="0"/>
        <w:pageBreakBefore w:val="0"/>
        <w:widowControl w:val="0"/>
        <w:kinsoku/>
        <w:overflowPunct/>
        <w:topLinePunct w:val="0"/>
        <w:autoSpaceDE/>
        <w:autoSpaceDN/>
        <w:bidi w:val="0"/>
        <w:adjustRightInd/>
        <w:snapToGrid/>
        <w:ind w:firstLine="880" w:firstLineChars="20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11BCF111">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579B1A06">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049FA505">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（一）职能职责</w:t>
      </w:r>
    </w:p>
    <w:p w14:paraId="4B19E8E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1、参与拟订房屋交易相关的行政规章、地方性法规、规章和规范性文件的事务性工作。</w:t>
      </w:r>
    </w:p>
    <w:p w14:paraId="7E74E18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2、负责主城区（含岳阳楼区、经济技术开发区、南湖新区、城陵矶新港区，下同）商品房和存量房买卖合同示范文本推广、住房全生命周期管理“一网通办”的行政辅助工作。</w:t>
      </w:r>
    </w:p>
    <w:p w14:paraId="1F74466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3、负责主城区办理网签备案系统入网认证和商品房项目现房销售备案、房屋面积和楼盘表管理、房屋测绘成果备案的行政辅助工作。</w:t>
      </w:r>
    </w:p>
    <w:p w14:paraId="01AFF6F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4、负责主城区房地产中介管理、中介机构备案、房屋租赁管理和房屋租赁备案的行政辅助工作。</w:t>
      </w:r>
    </w:p>
    <w:p w14:paraId="7C74871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5、负责主城区房地产交易市场管理、房源信息核验、房地产成交价格申报以及同级别土地上住房交易平均价格的测算和发布等行政辅助工作。</w:t>
      </w:r>
    </w:p>
    <w:p w14:paraId="2557B5A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6、负责市主城区房屋交易管理以及协助财政、税务部门征收房地产交易环节税费的相关事务性工作。</w:t>
      </w:r>
    </w:p>
    <w:p w14:paraId="7D1DFF2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7、负责市主城区范围内新建商品房买卖合同、存量房买卖合同、房地产租赁合同、房地产抵押合同的网签备案及其变更、撤销等事务性工作。</w:t>
      </w:r>
    </w:p>
    <w:p w14:paraId="0960AA2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8、负责楼盘表的建立、变更和管理，负责房地产交易网签备案系统建设的事务性工作。</w:t>
      </w:r>
    </w:p>
    <w:p w14:paraId="7F3D02C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9、负责市主城区存量房交易资金监管的事务性工作。</w:t>
      </w:r>
    </w:p>
    <w:p w14:paraId="3F0B65B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rPr>
        <w:t>10、负责与市不动产登记中心建立联席制度，确保信息互联互通，流程清晰顺畅，及时协商解决工作中的问题，确保房屋交易职能运行顺畅、管理有序、部门配合、方便群众。</w:t>
      </w:r>
      <w:r>
        <w:rPr>
          <w:rFonts w:hint="eastAsia" w:ascii="Times New Roman" w:hAnsi="Times New Roman" w:eastAsia="仿宋_GB2312" w:cs="Times New Roman"/>
          <w:color w:val="000000"/>
          <w:sz w:val="32"/>
          <w:szCs w:val="32"/>
          <w:highlight w:val="none"/>
          <w:lang w:val="en-US" w:eastAsia="zh-CN"/>
        </w:rPr>
        <w:t xml:space="preserve">   </w:t>
      </w:r>
    </w:p>
    <w:p w14:paraId="47AC986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（二）机构设置</w:t>
      </w:r>
    </w:p>
    <w:p w14:paraId="1DBBF49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我中心为岳阳市住房和城乡建设局下属的正科级公益一类事业单位，内设综合室、新建商品房市场管理室和存量房市场管理室。</w:t>
      </w:r>
    </w:p>
    <w:p w14:paraId="4BDA765D">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根据</w:t>
      </w:r>
      <w:r>
        <w:rPr>
          <w:rFonts w:hint="eastAsia" w:ascii="Times New Roman" w:hAnsi="Times New Roman" w:eastAsia="仿宋_GB2312" w:cs="Times New Roman"/>
          <w:color w:val="000000"/>
          <w:sz w:val="32"/>
          <w:szCs w:val="32"/>
          <w:highlight w:val="none"/>
          <w:lang w:eastAsia="zh-CN"/>
        </w:rPr>
        <w:t>岳阳市</w:t>
      </w:r>
      <w:r>
        <w:rPr>
          <w:rFonts w:hint="default" w:ascii="Times New Roman" w:hAnsi="Times New Roman" w:eastAsia="仿宋_GB2312" w:cs="Times New Roman"/>
          <w:color w:val="000000"/>
          <w:sz w:val="32"/>
          <w:szCs w:val="32"/>
          <w:highlight w:val="none"/>
        </w:rPr>
        <w:t>编委核定，我中心全额拨款事业编制</w:t>
      </w:r>
      <w:r>
        <w:rPr>
          <w:rFonts w:hint="eastAsia" w:ascii="Times New Roman" w:hAnsi="Times New Roman" w:eastAsia="仿宋_GB2312" w:cs="Times New Roman"/>
          <w:color w:val="000000"/>
          <w:sz w:val="32"/>
          <w:szCs w:val="32"/>
          <w:highlight w:val="none"/>
          <w:lang w:val="en-US" w:eastAsia="zh-CN"/>
        </w:rPr>
        <w:t>21</w:t>
      </w:r>
      <w:r>
        <w:rPr>
          <w:rFonts w:hint="default" w:ascii="Times New Roman" w:hAnsi="Times New Roman" w:eastAsia="仿宋_GB2312" w:cs="Times New Roman"/>
          <w:color w:val="000000"/>
          <w:sz w:val="32"/>
          <w:szCs w:val="32"/>
          <w:highlight w:val="none"/>
        </w:rPr>
        <w:t>名，设主任（正科级）1名，副主任（副科级）</w:t>
      </w:r>
      <w:r>
        <w:rPr>
          <w:rFonts w:hint="eastAsia" w:ascii="Times New Roman" w:hAnsi="Times New Roman" w:eastAsia="仿宋_GB2312" w:cs="Times New Roman"/>
          <w:color w:val="000000"/>
          <w:sz w:val="32"/>
          <w:szCs w:val="32"/>
          <w:highlight w:val="none"/>
          <w:lang w:val="en-US" w:eastAsia="zh-CN"/>
        </w:rPr>
        <w:t>5</w:t>
      </w:r>
      <w:r>
        <w:rPr>
          <w:rFonts w:hint="default" w:ascii="Times New Roman" w:hAnsi="Times New Roman" w:eastAsia="仿宋_GB2312" w:cs="Times New Roman"/>
          <w:color w:val="000000"/>
          <w:sz w:val="32"/>
          <w:szCs w:val="32"/>
          <w:highlight w:val="none"/>
        </w:rPr>
        <w:t>名。截至202</w:t>
      </w:r>
      <w:r>
        <w:rPr>
          <w:rFonts w:hint="eastAsia" w:ascii="Times New Roman" w:hAnsi="Times New Roman" w:eastAsia="仿宋_GB2312" w:cs="Times New Roman"/>
          <w:color w:val="000000"/>
          <w:sz w:val="32"/>
          <w:szCs w:val="32"/>
          <w:highlight w:val="none"/>
          <w:lang w:val="en-US" w:eastAsia="zh-CN"/>
        </w:rPr>
        <w:t>5</w:t>
      </w:r>
      <w:r>
        <w:rPr>
          <w:rFonts w:hint="default" w:ascii="Times New Roman" w:hAnsi="Times New Roman" w:eastAsia="仿宋_GB2312" w:cs="Times New Roman"/>
          <w:color w:val="000000"/>
          <w:sz w:val="32"/>
          <w:szCs w:val="32"/>
          <w:highlight w:val="none"/>
        </w:rPr>
        <w:t>年12月31日，我中心事业编制在职人员</w:t>
      </w:r>
      <w:r>
        <w:rPr>
          <w:rFonts w:hint="eastAsia" w:ascii="Times New Roman" w:hAnsi="Times New Roman" w:eastAsia="仿宋_GB2312" w:cs="Times New Roman"/>
          <w:color w:val="000000"/>
          <w:sz w:val="32"/>
          <w:szCs w:val="32"/>
          <w:highlight w:val="none"/>
          <w:lang w:val="en-US" w:eastAsia="zh-CN"/>
        </w:rPr>
        <w:t>20</w:t>
      </w:r>
      <w:r>
        <w:rPr>
          <w:rFonts w:hint="default" w:ascii="Times New Roman" w:hAnsi="Times New Roman" w:eastAsia="仿宋_GB2312" w:cs="Times New Roman"/>
          <w:color w:val="000000"/>
          <w:sz w:val="32"/>
          <w:szCs w:val="32"/>
          <w:highlight w:val="none"/>
        </w:rPr>
        <w:t>名，退休人员2名。</w:t>
      </w:r>
    </w:p>
    <w:p w14:paraId="0C50F7D9">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p>
    <w:p w14:paraId="23790F27">
      <w:pPr>
        <w:pStyle w:val="2"/>
        <w:rPr>
          <w:rFonts w:hint="default"/>
        </w:rPr>
      </w:pPr>
    </w:p>
    <w:p w14:paraId="3F4FEDAA">
      <w:pPr>
        <w:pStyle w:val="5"/>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5E7E59CB">
      <w:pPr>
        <w:pStyle w:val="5"/>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59246ACD">
      <w:pPr>
        <w:pStyle w:val="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仿宋_GB2312" w:cs="Times New Roman"/>
          <w:color w:val="000000"/>
          <w:kern w:val="0"/>
          <w:sz w:val="32"/>
          <w:szCs w:val="32"/>
          <w:highlight w:val="none"/>
          <w:lang w:val="en-US" w:eastAsia="zh-CN" w:bidi="ar-SA"/>
        </w:rPr>
        <w:t>202</w:t>
      </w:r>
      <w:r>
        <w:rPr>
          <w:rFonts w:hint="default" w:ascii="Times New Roman" w:hAnsi="Times New Roman" w:eastAsia="仿宋_GB2312" w:cs="Times New Roman"/>
          <w:color w:val="000000"/>
          <w:kern w:val="0"/>
          <w:sz w:val="32"/>
          <w:szCs w:val="32"/>
          <w:highlight w:val="none"/>
          <w:lang w:val="en-US" w:eastAsia="zh-CN" w:bidi="ar-SA"/>
        </w:rPr>
        <w:t>5</w:t>
      </w:r>
      <w:r>
        <w:rPr>
          <w:rFonts w:hint="eastAsia" w:ascii="Times New Roman" w:hAnsi="Times New Roman" w:eastAsia="仿宋_GB2312" w:cs="Times New Roman"/>
          <w:color w:val="000000"/>
          <w:kern w:val="0"/>
          <w:sz w:val="32"/>
          <w:szCs w:val="32"/>
          <w:highlight w:val="none"/>
          <w:lang w:val="en-US" w:eastAsia="zh-CN" w:bidi="ar-SA"/>
        </w:rPr>
        <w:t>年度，本中心一般公共预算基本支出总金额为</w:t>
      </w:r>
      <w:r>
        <w:rPr>
          <w:rFonts w:hint="default" w:ascii="Times New Roman" w:hAnsi="Times New Roman" w:eastAsia="仿宋_GB2312" w:cs="Times New Roman"/>
          <w:color w:val="000000"/>
          <w:kern w:val="0"/>
          <w:sz w:val="32"/>
          <w:szCs w:val="32"/>
          <w:highlight w:val="none"/>
          <w:lang w:val="en-US" w:eastAsia="zh-CN" w:bidi="ar-SA"/>
        </w:rPr>
        <w:t>356.2</w:t>
      </w:r>
      <w:r>
        <w:rPr>
          <w:rFonts w:hint="eastAsia" w:ascii="Times New Roman" w:hAnsi="Times New Roman" w:eastAsia="仿宋_GB2312" w:cs="Times New Roman"/>
          <w:color w:val="000000"/>
          <w:kern w:val="0"/>
          <w:sz w:val="32"/>
          <w:szCs w:val="32"/>
          <w:highlight w:val="none"/>
          <w:lang w:val="en-US" w:eastAsia="zh-CN" w:bidi="ar-SA"/>
        </w:rPr>
        <w:t>7万元，其中：人员经费支出</w:t>
      </w:r>
      <w:r>
        <w:rPr>
          <w:rFonts w:hint="default" w:ascii="Times New Roman" w:hAnsi="Times New Roman" w:eastAsia="仿宋_GB2312" w:cs="Times New Roman"/>
          <w:color w:val="000000"/>
          <w:kern w:val="0"/>
          <w:sz w:val="32"/>
          <w:szCs w:val="32"/>
          <w:highlight w:val="none"/>
          <w:lang w:val="en-US" w:eastAsia="zh-CN" w:bidi="ar-SA"/>
        </w:rPr>
        <w:t>325.9</w:t>
      </w:r>
      <w:r>
        <w:rPr>
          <w:rFonts w:hint="eastAsia" w:ascii="Times New Roman" w:hAnsi="Times New Roman" w:eastAsia="仿宋_GB2312" w:cs="Times New Roman"/>
          <w:color w:val="000000"/>
          <w:kern w:val="0"/>
          <w:sz w:val="32"/>
          <w:szCs w:val="32"/>
          <w:highlight w:val="none"/>
          <w:lang w:val="en-US" w:eastAsia="zh-CN" w:bidi="ar-SA"/>
        </w:rPr>
        <w:t>2万元，主要包括：基本工资、津贴补贴、奖金、伙食补助费、绩效工资、机关事业单位基本养老保险缴费、职工基本医疗保险缴费、其他社会保障缴费、住房公积金、医疗费、退休费、医疗费补助、其他对个人和家庭的补助；公用经费支出</w:t>
      </w:r>
      <w:r>
        <w:rPr>
          <w:rFonts w:hint="default" w:ascii="Times New Roman" w:hAnsi="Times New Roman" w:eastAsia="仿宋_GB2312" w:cs="Times New Roman"/>
          <w:color w:val="000000"/>
          <w:kern w:val="0"/>
          <w:sz w:val="32"/>
          <w:szCs w:val="32"/>
          <w:highlight w:val="none"/>
          <w:lang w:val="en-US" w:eastAsia="zh-CN" w:bidi="ar-SA"/>
        </w:rPr>
        <w:t>30.35</w:t>
      </w:r>
      <w:r>
        <w:rPr>
          <w:rFonts w:hint="eastAsia" w:ascii="Times New Roman" w:hAnsi="Times New Roman" w:eastAsia="仿宋_GB2312" w:cs="Times New Roman"/>
          <w:color w:val="000000"/>
          <w:kern w:val="0"/>
          <w:sz w:val="32"/>
          <w:szCs w:val="32"/>
          <w:highlight w:val="none"/>
          <w:lang w:val="en-US" w:eastAsia="zh-CN" w:bidi="ar-SA"/>
        </w:rPr>
        <w:t>万元，主要包括：办公费、印刷费、邮电费、差旅费、维修（护）费、工会经费、福利费、其他交通费用、其他商品和服务支出。</w:t>
      </w:r>
    </w:p>
    <w:p w14:paraId="23735646">
      <w:pPr>
        <w:pStyle w:val="5"/>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14:paraId="78AB5013">
      <w:pPr>
        <w:pStyle w:val="5"/>
        <w:keepNext w:val="0"/>
        <w:keepLines w:val="0"/>
        <w:pageBreakBefore w:val="0"/>
        <w:widowControl w:val="0"/>
        <w:numPr>
          <w:ilvl w:val="0"/>
          <w:numId w:val="0"/>
        </w:numPr>
        <w:kinsoku/>
        <w:wordWrap/>
        <w:overflowPunct/>
        <w:topLinePunct w:val="0"/>
        <w:autoSpaceDE/>
        <w:autoSpaceDN/>
        <w:bidi w:val="0"/>
        <w:adjustRightInd/>
        <w:snapToGrid/>
        <w:spacing w:line="640" w:lineRule="exact"/>
        <w:jc w:val="both"/>
        <w:textAlignment w:val="auto"/>
        <w:rPr>
          <w:rFonts w:hint="eastAsia" w:ascii="Times New Roman" w:hAnsi="Times New Roman" w:eastAsia="仿宋_GB2312" w:cs="Times New Roman"/>
          <w:b w:val="0"/>
          <w:bCs/>
          <w:sz w:val="32"/>
          <w:szCs w:val="32"/>
          <w:highlight w:val="none"/>
          <w:lang w:val="en-US" w:eastAsia="zh-CN"/>
        </w:rPr>
      </w:pPr>
      <w:r>
        <w:rPr>
          <w:rFonts w:hint="default" w:ascii="Times New Roman" w:hAnsi="Times New Roman" w:eastAsia="楷体_GB2312" w:cs="Times New Roman"/>
          <w:b w:val="0"/>
          <w:bCs/>
          <w:sz w:val="32"/>
          <w:szCs w:val="32"/>
          <w:highlight w:val="none"/>
          <w:lang w:val="en-US"/>
        </w:rPr>
        <w:t xml:space="preserve">  </w:t>
      </w:r>
      <w:r>
        <w:rPr>
          <w:rFonts w:hint="eastAsia" w:ascii="仿宋_GB2312" w:hAnsi="仿宋_GB2312" w:eastAsia="仿宋_GB2312" w:cs="仿宋_GB2312"/>
          <w:b w:val="0"/>
          <w:bCs/>
          <w:sz w:val="32"/>
          <w:szCs w:val="32"/>
          <w:highlight w:val="none"/>
          <w:lang w:val="en-US"/>
        </w:rPr>
        <w:t xml:space="preserve">  2025</w:t>
      </w:r>
      <w:r>
        <w:rPr>
          <w:rFonts w:hint="eastAsia" w:ascii="仿宋_GB2312" w:hAnsi="仿宋_GB2312" w:eastAsia="仿宋_GB2312" w:cs="仿宋_GB2312"/>
          <w:b w:val="0"/>
          <w:bCs/>
          <w:sz w:val="32"/>
          <w:szCs w:val="32"/>
          <w:highlight w:val="none"/>
          <w:lang w:val="en-US" w:eastAsia="zh-CN"/>
        </w:rPr>
        <w:t>年度，本中心无项目支出。</w:t>
      </w:r>
    </w:p>
    <w:p w14:paraId="7677F58F">
      <w:pPr>
        <w:pStyle w:val="5"/>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2B956BB4">
      <w:pPr>
        <w:pStyle w:val="5"/>
        <w:keepNext w:val="0"/>
        <w:keepLines w:val="0"/>
        <w:pageBreakBefore w:val="0"/>
        <w:widowControl/>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val="0"/>
          <w:bCs w:val="0"/>
          <w:sz w:val="32"/>
          <w:szCs w:val="32"/>
          <w:highlight w:val="none"/>
          <w:lang w:eastAsia="zh-CN"/>
        </w:rPr>
        <w:t>本中心无政府性基金预算支出。</w:t>
      </w:r>
    </w:p>
    <w:p w14:paraId="50F29C27">
      <w:pPr>
        <w:pStyle w:val="5"/>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14:paraId="1AA4FC9E">
      <w:pPr>
        <w:pStyle w:val="5"/>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val="0"/>
          <w:bCs w:val="0"/>
          <w:sz w:val="32"/>
          <w:szCs w:val="32"/>
          <w:highlight w:val="none"/>
          <w:lang w:eastAsia="zh-CN"/>
        </w:rPr>
        <w:t>本中心无国有资本经营预算支出。</w:t>
      </w:r>
    </w:p>
    <w:p w14:paraId="0410E3E7">
      <w:pPr>
        <w:pStyle w:val="5"/>
        <w:keepNext w:val="0"/>
        <w:keepLines w:val="0"/>
        <w:pageBreakBefore w:val="0"/>
        <w:widowControl w:val="0"/>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535AE4A5">
      <w:pPr>
        <w:pStyle w:val="5"/>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val="0"/>
          <w:bCs w:val="0"/>
          <w:sz w:val="32"/>
          <w:szCs w:val="32"/>
          <w:highlight w:val="none"/>
          <w:lang w:eastAsia="zh-CN"/>
        </w:rPr>
        <w:t>本中心无社会保险基金预算支出。</w:t>
      </w:r>
    </w:p>
    <w:p w14:paraId="113C8C0D">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2A721B97">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2025年，我中心在市住建局</w:t>
      </w:r>
      <w:r>
        <w:rPr>
          <w:rFonts w:hint="eastAsia" w:ascii="仿宋_GB2312" w:hAnsi="仿宋_GB2312" w:eastAsia="仿宋_GB2312" w:cs="仿宋_GB2312"/>
          <w:sz w:val="32"/>
          <w:szCs w:val="32"/>
          <w:lang w:eastAsia="zh-CN"/>
        </w:rPr>
        <w:t>党组</w:t>
      </w:r>
      <w:r>
        <w:rPr>
          <w:rFonts w:hint="eastAsia" w:ascii="仿宋_GB2312" w:hAnsi="仿宋_GB2312" w:eastAsia="仿宋_GB2312" w:cs="仿宋_GB2312"/>
          <w:sz w:val="32"/>
          <w:szCs w:val="32"/>
        </w:rPr>
        <w:t>的坚强领导下，坚持以习近平新时代中国特色社会主义思想为指导，深入学习贯彻</w:t>
      </w:r>
      <w:r>
        <w:rPr>
          <w:rFonts w:hint="eastAsia" w:ascii="仿宋_GB2312" w:hAnsi="仿宋_GB2312" w:eastAsia="仿宋_GB2312" w:cs="仿宋_GB2312"/>
          <w:sz w:val="32"/>
          <w:szCs w:val="32"/>
          <w:lang w:eastAsia="zh-CN"/>
        </w:rPr>
        <w:t>党的二十大和二十届历次全会精神</w:t>
      </w:r>
      <w:r>
        <w:rPr>
          <w:rFonts w:hint="eastAsia" w:ascii="仿宋_GB2312" w:hAnsi="仿宋_GB2312" w:eastAsia="仿宋_GB2312" w:cs="仿宋_GB2312"/>
          <w:sz w:val="32"/>
          <w:szCs w:val="32"/>
        </w:rPr>
        <w:t>，认真落实中央、省、市关于房地产市场平稳健康发展的决策部署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紧紧围绕“服务民生、规范市场、防范风险”三大核心任务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四强”党支部建设为抓手，坚持“稳市场、防风险、优服务、促发展”工作主线，持续优化交易服务、强化市场监管、提升数字效能、防控交易风险，各项工作取得积极成效，为促进我市房地产市场平稳健康发展贡献力量。</w:t>
      </w:r>
      <w:r>
        <w:rPr>
          <w:rFonts w:hint="eastAsia" w:ascii="仿宋_GB2312" w:hAnsi="仿宋_GB2312" w:eastAsia="仿宋_GB2312" w:cs="仿宋_GB2312"/>
          <w:sz w:val="32"/>
          <w:szCs w:val="32"/>
          <w:highlight w:val="none"/>
          <w:lang w:val="en-US" w:eastAsia="zh-CN"/>
        </w:rPr>
        <w:t>以下为2025年我中心取得的工作成果：</w:t>
      </w:r>
    </w:p>
    <w:p w14:paraId="6B2A97DB">
      <w:pPr>
        <w:pStyle w:val="2"/>
        <w:ind w:left="0" w:leftChars="0"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lang w:val="en-US" w:eastAsia="zh-CN"/>
        </w:rPr>
        <w:t>(一）深化品牌创建，激发队伍活力。</w:t>
      </w:r>
      <w:r>
        <w:rPr>
          <w:rFonts w:hint="eastAsia" w:ascii="仿宋_GB2312" w:hAnsi="仿宋_GB2312" w:eastAsia="仿宋_GB2312" w:cs="仿宋_GB2312"/>
          <w:sz w:val="32"/>
          <w:szCs w:val="32"/>
        </w:rPr>
        <w:t>持续推进“安居先锋行”党建品牌建设，深入开展“先锋创建促提升”活动。</w:t>
      </w: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sz w:val="32"/>
          <w:szCs w:val="32"/>
        </w:rPr>
        <w:t>打造“红色引擎”：设立“党员先锋岗”和“党员责任区”，推行</w:t>
      </w:r>
      <w:r>
        <w:rPr>
          <w:rFonts w:hint="eastAsia" w:ascii="仿宋_GB2312" w:hAnsi="仿宋_GB2312" w:eastAsia="仿宋_GB2312" w:cs="仿宋_GB2312"/>
          <w:sz w:val="32"/>
          <w:szCs w:val="32"/>
          <w:lang w:eastAsia="zh-CN"/>
        </w:rPr>
        <w:t>“首问责任制”</w:t>
      </w:r>
      <w:r>
        <w:rPr>
          <w:rFonts w:hint="eastAsia" w:ascii="仿宋_GB2312" w:hAnsi="仿宋_GB2312" w:eastAsia="仿宋_GB2312" w:cs="仿宋_GB2312"/>
          <w:sz w:val="32"/>
          <w:szCs w:val="32"/>
        </w:rPr>
        <w:t>和“限时办结制”，将服务承诺公开上墙，接受群众监督。</w:t>
      </w: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rPr>
        <w:t>践行“一线工作法”：开展“主题党日进楼盘、政策服务惠民生”系列活动，组织党员干部深入项目一线、引导党员参与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旅发大会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东风湖净滩等</w:t>
      </w:r>
      <w:r>
        <w:rPr>
          <w:rFonts w:hint="eastAsia" w:ascii="仿宋_GB2312" w:hAnsi="仿宋_GB2312" w:eastAsia="仿宋_GB2312" w:cs="仿宋_GB2312"/>
          <w:sz w:val="32"/>
          <w:szCs w:val="32"/>
        </w:rPr>
        <w:t>志愿活动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累计</w:t>
      </w:r>
      <w:r>
        <w:rPr>
          <w:rFonts w:hint="eastAsia" w:ascii="仿宋_GB2312" w:hAnsi="仿宋_GB2312" w:eastAsia="仿宋_GB2312" w:cs="仿宋_GB2312"/>
          <w:sz w:val="32"/>
          <w:szCs w:val="32"/>
        </w:rPr>
        <w:t>发放宣传资料</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余份，现场解答群众咨询200余人次，变“坐等上门”为“主动服务”，切实解决</w:t>
      </w:r>
      <w:r>
        <w:rPr>
          <w:rFonts w:hint="eastAsia" w:ascii="仿宋_GB2312" w:hAnsi="仿宋_GB2312" w:eastAsia="仿宋_GB2312" w:cs="仿宋_GB2312"/>
          <w:sz w:val="32"/>
          <w:szCs w:val="32"/>
          <w:lang w:eastAsia="zh-CN"/>
        </w:rPr>
        <w:t>群众急难愁盼</w:t>
      </w:r>
      <w:r>
        <w:rPr>
          <w:rFonts w:hint="eastAsia" w:ascii="仿宋_GB2312" w:hAnsi="仿宋_GB2312" w:eastAsia="仿宋_GB2312" w:cs="仿宋_GB2312"/>
          <w:sz w:val="32"/>
          <w:szCs w:val="32"/>
        </w:rPr>
        <w:t>问题。</w:t>
      </w:r>
    </w:p>
    <w:p w14:paraId="0993655B">
      <w:pPr>
        <w:pStyle w:val="2"/>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eastAsia="zh-CN"/>
        </w:rPr>
        <w:t>（二）</w:t>
      </w:r>
      <w:r>
        <w:rPr>
          <w:rFonts w:hint="eastAsia" w:ascii="楷体_GB2312" w:hAnsi="楷体_GB2312" w:eastAsia="楷体_GB2312" w:cs="楷体_GB2312"/>
          <w:b w:val="0"/>
          <w:bCs w:val="0"/>
          <w:sz w:val="32"/>
          <w:szCs w:val="32"/>
        </w:rPr>
        <w:t>打造团购品牌，</w:t>
      </w:r>
      <w:r>
        <w:rPr>
          <w:rFonts w:hint="eastAsia" w:ascii="楷体_GB2312" w:hAnsi="楷体_GB2312" w:eastAsia="楷体_GB2312" w:cs="楷体_GB2312"/>
          <w:b w:val="0"/>
          <w:bCs w:val="0"/>
          <w:sz w:val="32"/>
          <w:szCs w:val="32"/>
          <w:lang w:val="en-US" w:eastAsia="zh-CN"/>
        </w:rPr>
        <w:t>稳定</w:t>
      </w:r>
      <w:r>
        <w:rPr>
          <w:rFonts w:hint="eastAsia" w:ascii="楷体_GB2312" w:hAnsi="楷体_GB2312" w:eastAsia="楷体_GB2312" w:cs="楷体_GB2312"/>
          <w:b w:val="0"/>
          <w:bCs w:val="0"/>
          <w:sz w:val="32"/>
          <w:szCs w:val="32"/>
        </w:rPr>
        <w:t>市场预期。</w:t>
      </w:r>
      <w:r>
        <w:rPr>
          <w:rFonts w:hint="eastAsia" w:ascii="仿宋_GB2312" w:hAnsi="仿宋_GB2312" w:eastAsia="仿宋_GB2312" w:cs="仿宋_GB2312"/>
          <w:b w:val="0"/>
          <w:bCs w:val="0"/>
          <w:sz w:val="32"/>
          <w:szCs w:val="32"/>
          <w:lang w:val="en-US" w:eastAsia="zh-CN"/>
        </w:rPr>
        <w:t>今年，围绕群众合理住房需求，我中心联合市局房地产服务中心持续开展房地产团购活动，不断优化购房供需对接。先后在我局一楼大厅、天伦中心、</w:t>
      </w:r>
      <w:r>
        <w:rPr>
          <w:rFonts w:hint="eastAsia" w:ascii="仿宋_GB2312" w:hAnsi="仿宋_GB2312" w:eastAsia="仿宋_GB2312" w:cs="仿宋_GB2312"/>
          <w:b w:val="0"/>
          <w:bCs w:val="0"/>
          <w:sz w:val="32"/>
          <w:szCs w:val="32"/>
        </w:rPr>
        <w:t>华容东山镇湖南火电国能岳阳电厂</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湖南石化等地举办了以“致敬劳动光荣，共襄旅发盛会”“国庆钜惠，畅购好房”“服务央企、畅购好房”等为主题的团购活动。在此活动中，我们积极向群众讲解购房政策、贷款办理、资金监管、合同网签等流程，有效促进市场消费信心提升。</w:t>
      </w:r>
    </w:p>
    <w:p w14:paraId="49F3F9A6">
      <w:pPr>
        <w:pStyle w:val="2"/>
        <w:numPr>
          <w:ilvl w:val="0"/>
          <w:numId w:val="0"/>
        </w:numPr>
        <w:ind w:firstLine="640" w:firstLineChars="200"/>
        <w:rPr>
          <w:rFonts w:hint="eastAsia" w:ascii="仿宋_GB2312" w:hAnsi="仿宋_GB2312" w:eastAsia="仿宋_GB2312" w:cs="仿宋_GB2312"/>
          <w:b w:val="0"/>
          <w:bCs w:val="0"/>
          <w:lang w:val="en-US" w:eastAsia="zh-CN"/>
        </w:rPr>
      </w:pPr>
      <w:r>
        <w:rPr>
          <w:rFonts w:hint="eastAsia" w:ascii="楷体_GB2312" w:hAnsi="楷体_GB2312" w:eastAsia="楷体_GB2312" w:cs="楷体_GB2312"/>
          <w:b w:val="0"/>
          <w:bCs w:val="0"/>
          <w:sz w:val="32"/>
          <w:szCs w:val="32"/>
          <w:lang w:eastAsia="zh-CN"/>
        </w:rPr>
        <w:t>（三）</w:t>
      </w:r>
      <w:r>
        <w:rPr>
          <w:rFonts w:hint="eastAsia" w:ascii="楷体_GB2312" w:hAnsi="楷体_GB2312" w:eastAsia="楷体_GB2312" w:cs="楷体_GB2312"/>
          <w:b w:val="0"/>
          <w:bCs w:val="0"/>
          <w:sz w:val="32"/>
          <w:szCs w:val="32"/>
        </w:rPr>
        <w:t>深化便民工程，</w:t>
      </w:r>
      <w:r>
        <w:rPr>
          <w:rFonts w:hint="eastAsia" w:ascii="楷体_GB2312" w:hAnsi="楷体_GB2312" w:eastAsia="楷体_GB2312" w:cs="楷体_GB2312"/>
          <w:b w:val="0"/>
          <w:bCs w:val="0"/>
          <w:sz w:val="32"/>
          <w:szCs w:val="32"/>
          <w:lang w:val="en-US" w:eastAsia="zh-CN"/>
        </w:rPr>
        <w:t>优化</w:t>
      </w:r>
      <w:r>
        <w:rPr>
          <w:rFonts w:hint="eastAsia" w:ascii="楷体_GB2312" w:hAnsi="楷体_GB2312" w:eastAsia="楷体_GB2312" w:cs="楷体_GB2312"/>
          <w:b w:val="0"/>
          <w:bCs w:val="0"/>
          <w:sz w:val="32"/>
          <w:szCs w:val="32"/>
        </w:rPr>
        <w:t>数字服务。</w:t>
      </w:r>
      <w:r>
        <w:rPr>
          <w:rFonts w:hint="eastAsia" w:ascii="仿宋_GB2312" w:hAnsi="仿宋_GB2312" w:eastAsia="仿宋_GB2312" w:cs="仿宋_GB2312"/>
          <w:b w:val="0"/>
          <w:bCs w:val="0"/>
          <w:sz w:val="32"/>
          <w:szCs w:val="32"/>
        </w:rPr>
        <w:t>持续优化“住建360找房”小程序，实现房源核验、网签“网上办、自助办”。</w:t>
      </w:r>
      <w:r>
        <w:rPr>
          <w:rFonts w:hint="eastAsia" w:ascii="仿宋_GB2312" w:hAnsi="仿宋_GB2312" w:eastAsia="仿宋_GB2312" w:cs="仿宋_GB2312"/>
          <w:b w:val="0"/>
          <w:bCs w:val="0"/>
          <w:sz w:val="32"/>
          <w:szCs w:val="32"/>
          <w:lang w:val="en-US" w:eastAsia="zh-CN"/>
        </w:rPr>
        <w:t>今年已</w:t>
      </w:r>
      <w:r>
        <w:rPr>
          <w:rFonts w:hint="eastAsia" w:ascii="仿宋_GB2312" w:hAnsi="仿宋_GB2312" w:eastAsia="仿宋_GB2312" w:cs="仿宋_GB2312"/>
          <w:b w:val="0"/>
          <w:bCs w:val="0"/>
          <w:sz w:val="32"/>
          <w:szCs w:val="32"/>
        </w:rPr>
        <w:t>完成小程序界面升级，并组织人员深入481个小区及22个重点区域开展驻点宣传，有效提升了平台的认知度和影响力。 </w:t>
      </w:r>
    </w:p>
    <w:p w14:paraId="5A7E9ADA">
      <w:pPr>
        <w:pStyle w:val="2"/>
        <w:numPr>
          <w:ilvl w:val="0"/>
          <w:numId w:val="0"/>
        </w:numPr>
        <w:ind w:firstLine="640" w:firstLineChars="200"/>
        <w:rPr>
          <w:rFonts w:hint="eastAsia" w:ascii="仿宋_GB2312" w:hAnsi="仿宋_GB2312" w:eastAsia="仿宋_GB2312" w:cs="仿宋_GB2312"/>
          <w:b w:val="0"/>
          <w:bCs w:val="0"/>
          <w:lang w:val="en-US" w:eastAsia="zh-CN"/>
        </w:rPr>
      </w:pPr>
      <w:r>
        <w:rPr>
          <w:rFonts w:hint="eastAsia" w:ascii="楷体_GB2312" w:hAnsi="楷体_GB2312" w:eastAsia="楷体_GB2312" w:cs="楷体_GB2312"/>
          <w:b w:val="0"/>
          <w:bCs w:val="0"/>
          <w:sz w:val="32"/>
          <w:szCs w:val="32"/>
          <w:lang w:eastAsia="zh-CN"/>
        </w:rPr>
        <w:t>（四）</w:t>
      </w:r>
      <w:r>
        <w:rPr>
          <w:rFonts w:hint="eastAsia" w:ascii="楷体_GB2312" w:hAnsi="楷体_GB2312" w:eastAsia="楷体_GB2312" w:cs="楷体_GB2312"/>
          <w:b w:val="0"/>
          <w:bCs w:val="0"/>
          <w:sz w:val="32"/>
          <w:szCs w:val="32"/>
        </w:rPr>
        <w:t>落实购房补贴，</w:t>
      </w:r>
      <w:r>
        <w:rPr>
          <w:rFonts w:hint="eastAsia" w:ascii="楷体_GB2312" w:hAnsi="楷体_GB2312" w:eastAsia="楷体_GB2312" w:cs="楷体_GB2312"/>
          <w:b w:val="0"/>
          <w:bCs w:val="0"/>
          <w:sz w:val="32"/>
          <w:szCs w:val="32"/>
          <w:lang w:val="en-US" w:eastAsia="zh-CN"/>
        </w:rPr>
        <w:t>保障</w:t>
      </w:r>
      <w:r>
        <w:rPr>
          <w:rFonts w:hint="eastAsia" w:ascii="楷体_GB2312" w:hAnsi="楷体_GB2312" w:eastAsia="楷体_GB2312" w:cs="楷体_GB2312"/>
          <w:b w:val="0"/>
          <w:bCs w:val="0"/>
          <w:sz w:val="32"/>
          <w:szCs w:val="32"/>
        </w:rPr>
        <w:t>民生实事。</w:t>
      </w:r>
      <w:r>
        <w:rPr>
          <w:rFonts w:hint="eastAsia" w:ascii="仿宋_GB2312" w:hAnsi="仿宋_GB2312" w:eastAsia="仿宋_GB2312" w:cs="仿宋_GB2312"/>
          <w:b w:val="0"/>
          <w:bCs w:val="0"/>
          <w:sz w:val="32"/>
          <w:szCs w:val="32"/>
          <w:lang w:eastAsia="zh-CN"/>
        </w:rPr>
        <w:t>截至</w:t>
      </w:r>
      <w:r>
        <w:rPr>
          <w:rFonts w:hint="eastAsia" w:ascii="仿宋_GB2312" w:hAnsi="仿宋_GB2312" w:eastAsia="仿宋_GB2312" w:cs="仿宋_GB2312"/>
          <w:b w:val="0"/>
          <w:bCs w:val="0"/>
          <w:sz w:val="32"/>
          <w:szCs w:val="32"/>
          <w:lang w:val="en-US" w:eastAsia="zh-CN"/>
        </w:rPr>
        <w:t>12月底，</w:t>
      </w:r>
      <w:r>
        <w:rPr>
          <w:rFonts w:hint="eastAsia" w:ascii="仿宋_GB2312" w:hAnsi="仿宋_GB2312" w:eastAsia="仿宋_GB2312" w:cs="仿宋_GB2312"/>
          <w:b w:val="0"/>
          <w:bCs w:val="0"/>
          <w:sz w:val="32"/>
          <w:szCs w:val="32"/>
        </w:rPr>
        <w:t>累计完成商品房买卖合同网签备案共计</w:t>
      </w:r>
      <w:r>
        <w:rPr>
          <w:rFonts w:hint="eastAsia" w:ascii="仿宋_GB2312" w:hAnsi="仿宋_GB2312" w:eastAsia="仿宋_GB2312" w:cs="仿宋_GB2312"/>
          <w:b w:val="0"/>
          <w:bCs w:val="0"/>
          <w:sz w:val="32"/>
          <w:szCs w:val="32"/>
          <w:lang w:val="en-US" w:eastAsia="zh-CN"/>
        </w:rPr>
        <w:t>5659</w:t>
      </w:r>
      <w:r>
        <w:rPr>
          <w:rFonts w:hint="eastAsia" w:ascii="仿宋_GB2312" w:hAnsi="仿宋_GB2312" w:eastAsia="仿宋_GB2312" w:cs="仿宋_GB2312"/>
          <w:b w:val="0"/>
          <w:bCs w:val="0"/>
          <w:sz w:val="32"/>
          <w:szCs w:val="32"/>
        </w:rPr>
        <w:t>份，受理购房补贴申请</w:t>
      </w:r>
      <w:r>
        <w:rPr>
          <w:rFonts w:hint="eastAsia" w:ascii="仿宋_GB2312" w:hAnsi="仿宋_GB2312" w:eastAsia="仿宋_GB2312" w:cs="仿宋_GB2312"/>
          <w:b w:val="0"/>
          <w:bCs w:val="0"/>
          <w:sz w:val="32"/>
          <w:szCs w:val="32"/>
          <w:lang w:val="en-US" w:eastAsia="zh-CN"/>
        </w:rPr>
        <w:t>1862</w:t>
      </w:r>
      <w:r>
        <w:rPr>
          <w:rFonts w:hint="eastAsia" w:ascii="仿宋_GB2312" w:hAnsi="仿宋_GB2312" w:eastAsia="仿宋_GB2312" w:cs="仿宋_GB2312"/>
          <w:b w:val="0"/>
          <w:bCs w:val="0"/>
          <w:sz w:val="32"/>
          <w:szCs w:val="32"/>
        </w:rPr>
        <w:t>份，补贴金额</w:t>
      </w:r>
      <w:r>
        <w:rPr>
          <w:rFonts w:hint="eastAsia" w:ascii="仿宋_GB2312" w:hAnsi="仿宋_GB2312" w:eastAsia="仿宋_GB2312" w:cs="仿宋_GB2312"/>
          <w:b w:val="0"/>
          <w:bCs w:val="0"/>
          <w:sz w:val="32"/>
          <w:szCs w:val="32"/>
          <w:lang w:val="en-US" w:eastAsia="zh-CN"/>
        </w:rPr>
        <w:t>约3404万</w:t>
      </w:r>
      <w:r>
        <w:rPr>
          <w:rFonts w:hint="eastAsia" w:ascii="仿宋_GB2312" w:hAnsi="仿宋_GB2312" w:eastAsia="仿宋_GB2312" w:cs="仿宋_GB2312"/>
          <w:b w:val="0"/>
          <w:bCs w:val="0"/>
          <w:sz w:val="32"/>
          <w:szCs w:val="32"/>
        </w:rPr>
        <w:t>元。同时办理存量房买卖合同网签和资金监管业务</w:t>
      </w:r>
      <w:r>
        <w:rPr>
          <w:rFonts w:hint="eastAsia" w:ascii="仿宋_GB2312" w:hAnsi="仿宋_GB2312" w:eastAsia="仿宋_GB2312" w:cs="仿宋_GB2312"/>
          <w:b w:val="0"/>
          <w:bCs w:val="0"/>
          <w:sz w:val="32"/>
          <w:szCs w:val="32"/>
          <w:lang w:val="en-US" w:eastAsia="zh-CN"/>
        </w:rPr>
        <w:t>16</w:t>
      </w:r>
      <w:r>
        <w:rPr>
          <w:rFonts w:hint="eastAsia" w:ascii="仿宋_GB2312" w:hAnsi="仿宋_GB2312" w:eastAsia="仿宋_GB2312" w:cs="仿宋_GB2312"/>
          <w:b w:val="0"/>
          <w:bCs w:val="0"/>
          <w:sz w:val="32"/>
          <w:szCs w:val="32"/>
        </w:rPr>
        <w:t>笔，监管资金总额</w:t>
      </w:r>
      <w:r>
        <w:rPr>
          <w:rFonts w:hint="eastAsia" w:ascii="仿宋_GB2312" w:hAnsi="仿宋_GB2312" w:eastAsia="仿宋_GB2312" w:cs="仿宋_GB2312"/>
          <w:b w:val="0"/>
          <w:bCs w:val="0"/>
          <w:sz w:val="32"/>
          <w:szCs w:val="32"/>
          <w:lang w:val="en-US" w:eastAsia="zh-CN"/>
        </w:rPr>
        <w:t>3336</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实现“应签尽签、应管尽管”。通过严格执行网签备案制度，有效防范“一房多卖”、资金挪用等风险。</w:t>
      </w:r>
    </w:p>
    <w:p w14:paraId="21877851">
      <w:pPr>
        <w:ind w:firstLine="640" w:firstLineChars="200"/>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kern w:val="2"/>
          <w:sz w:val="32"/>
          <w:szCs w:val="32"/>
          <w:lang w:val="en-US" w:eastAsia="zh-CN" w:bidi="ar-SA"/>
        </w:rPr>
        <w:t>（五）推进大厅建设，创新服务模式。</w:t>
      </w:r>
      <w:r>
        <w:rPr>
          <w:rFonts w:hint="eastAsia" w:ascii="仿宋_GB2312" w:hAnsi="仿宋_GB2312" w:eastAsia="仿宋_GB2312" w:cs="仿宋_GB2312"/>
          <w:b w:val="0"/>
          <w:bCs w:val="0"/>
          <w:sz w:val="32"/>
          <w:szCs w:val="32"/>
        </w:rPr>
        <w:t>为落实《关于进一步促进岳阳市城区房地产市场平稳健康发展的若干措施》相关部署，我中心牵头推进</w:t>
      </w:r>
      <w:r>
        <w:rPr>
          <w:rFonts w:hint="eastAsia" w:ascii="仿宋_GB2312" w:hAnsi="仿宋_GB2312" w:eastAsia="仿宋_GB2312" w:cs="仿宋_GB2312"/>
          <w:b w:val="0"/>
          <w:bCs w:val="0"/>
          <w:sz w:val="32"/>
          <w:szCs w:val="32"/>
          <w:lang w:val="en-US" w:eastAsia="zh-CN"/>
        </w:rPr>
        <w:t>我局</w:t>
      </w:r>
      <w:r>
        <w:rPr>
          <w:rFonts w:hint="eastAsia" w:ascii="仿宋_GB2312" w:hAnsi="仿宋_GB2312" w:eastAsia="仿宋_GB2312" w:cs="仿宋_GB2312"/>
          <w:b w:val="0"/>
          <w:bCs w:val="0"/>
          <w:sz w:val="32"/>
          <w:szCs w:val="32"/>
        </w:rPr>
        <w:t>一楼“天天房交会”线下房地产交易大厅建设，探索形成政府指导、协会协同、企业参与、群众受益的房产交易服务新模式。交易大厅规划面积约四百五十平方米，定位为新建商品房、存量房、中介服务、金融服务、装修服务集中展示、交易和咨询的综合平台，致力于为市民提供公开透明、全程免费的线下购房和卖房服务。</w:t>
      </w:r>
    </w:p>
    <w:p w14:paraId="198C1ED6">
      <w:pPr>
        <w:numPr>
          <w:ilvl w:val="0"/>
          <w:numId w:val="0"/>
        </w:numPr>
        <w:ind w:firstLine="640" w:firstLineChars="200"/>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lang w:eastAsia="zh-CN"/>
        </w:rPr>
        <w:t>（六）</w:t>
      </w:r>
      <w:r>
        <w:rPr>
          <w:rFonts w:hint="eastAsia" w:ascii="楷体_GB2312" w:hAnsi="楷体_GB2312" w:eastAsia="楷体_GB2312" w:cs="楷体_GB2312"/>
          <w:b w:val="0"/>
          <w:bCs w:val="0"/>
          <w:sz w:val="32"/>
          <w:szCs w:val="32"/>
        </w:rPr>
        <w:t>规范交易备案管理。</w:t>
      </w:r>
      <w:r>
        <w:rPr>
          <w:rFonts w:hint="eastAsia" w:ascii="仿宋_GB2312" w:hAnsi="仿宋_GB2312" w:eastAsia="仿宋_GB2312" w:cs="仿宋_GB2312"/>
          <w:b w:val="0"/>
          <w:bCs w:val="0"/>
          <w:sz w:val="32"/>
          <w:szCs w:val="32"/>
        </w:rPr>
        <w:t>严格执行现售备案管理制度，已</w:t>
      </w:r>
      <w:r>
        <w:rPr>
          <w:rFonts w:hint="eastAsia" w:ascii="仿宋_GB2312" w:hAnsi="仿宋_GB2312" w:eastAsia="仿宋_GB2312" w:cs="仿宋_GB2312"/>
          <w:b w:val="0"/>
          <w:bCs w:val="0"/>
          <w:sz w:val="32"/>
          <w:szCs w:val="32"/>
          <w:lang w:val="en-US" w:eastAsia="zh-CN"/>
        </w:rPr>
        <w:t>累计</w:t>
      </w:r>
      <w:r>
        <w:rPr>
          <w:rFonts w:hint="eastAsia" w:ascii="仿宋_GB2312" w:hAnsi="仿宋_GB2312" w:eastAsia="仿宋_GB2312" w:cs="仿宋_GB2312"/>
          <w:b w:val="0"/>
          <w:bCs w:val="0"/>
          <w:sz w:val="32"/>
          <w:szCs w:val="32"/>
        </w:rPr>
        <w:t>完成新建商品房现售备案项目</w:t>
      </w:r>
      <w:r>
        <w:rPr>
          <w:rFonts w:hint="eastAsia" w:ascii="仿宋_GB2312" w:hAnsi="仿宋_GB2312" w:eastAsia="仿宋_GB2312" w:cs="仿宋_GB2312"/>
          <w:b w:val="0"/>
          <w:bCs w:val="0"/>
          <w:sz w:val="32"/>
          <w:szCs w:val="32"/>
          <w:lang w:val="en-US" w:eastAsia="zh-CN"/>
        </w:rPr>
        <w:t>17</w:t>
      </w:r>
      <w:r>
        <w:rPr>
          <w:rFonts w:hint="eastAsia" w:ascii="仿宋_GB2312" w:hAnsi="仿宋_GB2312" w:eastAsia="仿宋_GB2312" w:cs="仿宋_GB2312"/>
          <w:b w:val="0"/>
          <w:bCs w:val="0"/>
          <w:sz w:val="32"/>
          <w:szCs w:val="32"/>
        </w:rPr>
        <w:t>个，住宅</w:t>
      </w:r>
      <w:r>
        <w:rPr>
          <w:rFonts w:hint="eastAsia" w:ascii="仿宋_GB2312" w:hAnsi="仿宋_GB2312" w:eastAsia="仿宋_GB2312" w:cs="仿宋_GB2312"/>
          <w:b w:val="0"/>
          <w:bCs w:val="0"/>
          <w:sz w:val="32"/>
          <w:szCs w:val="32"/>
          <w:lang w:val="en-US" w:eastAsia="zh-CN"/>
        </w:rPr>
        <w:t>2094</w:t>
      </w:r>
      <w:r>
        <w:rPr>
          <w:rFonts w:hint="eastAsia" w:ascii="仿宋_GB2312" w:hAnsi="仿宋_GB2312" w:eastAsia="仿宋_GB2312" w:cs="仿宋_GB2312"/>
          <w:b w:val="0"/>
          <w:bCs w:val="0"/>
          <w:sz w:val="32"/>
          <w:szCs w:val="32"/>
        </w:rPr>
        <w:t>套，面积</w:t>
      </w:r>
      <w:r>
        <w:rPr>
          <w:rFonts w:hint="eastAsia" w:ascii="仿宋_GB2312" w:hAnsi="仿宋_GB2312" w:eastAsia="仿宋_GB2312" w:cs="仿宋_GB2312"/>
          <w:b w:val="0"/>
          <w:bCs w:val="0"/>
          <w:sz w:val="32"/>
          <w:szCs w:val="32"/>
          <w:lang w:val="en-US" w:eastAsia="zh-CN"/>
        </w:rPr>
        <w:t>26.7万</w:t>
      </w:r>
      <w:r>
        <w:rPr>
          <w:rFonts w:hint="eastAsia" w:ascii="仿宋_GB2312" w:hAnsi="仿宋_GB2312" w:eastAsia="仿宋_GB2312" w:cs="仿宋_GB2312"/>
          <w:b w:val="0"/>
          <w:bCs w:val="0"/>
          <w:sz w:val="32"/>
          <w:szCs w:val="32"/>
        </w:rPr>
        <w:t>平方米，商业及教育</w:t>
      </w:r>
      <w:r>
        <w:rPr>
          <w:rFonts w:hint="eastAsia" w:ascii="仿宋_GB2312" w:hAnsi="仿宋_GB2312" w:eastAsia="仿宋_GB2312" w:cs="仿宋_GB2312"/>
          <w:b w:val="0"/>
          <w:bCs w:val="0"/>
          <w:sz w:val="32"/>
          <w:szCs w:val="32"/>
          <w:lang w:val="en-US" w:eastAsia="zh-CN"/>
        </w:rPr>
        <w:t>2182</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套，面积</w:t>
      </w:r>
      <w:r>
        <w:rPr>
          <w:rFonts w:hint="eastAsia" w:ascii="仿宋_GB2312" w:hAnsi="仿宋_GB2312" w:eastAsia="仿宋_GB2312" w:cs="仿宋_GB2312"/>
          <w:b w:val="0"/>
          <w:bCs w:val="0"/>
          <w:sz w:val="32"/>
          <w:szCs w:val="32"/>
          <w:lang w:val="en-US" w:eastAsia="zh-CN"/>
        </w:rPr>
        <w:t>8万</w:t>
      </w:r>
      <w:r>
        <w:rPr>
          <w:rFonts w:hint="eastAsia" w:ascii="仿宋_GB2312" w:hAnsi="仿宋_GB2312" w:eastAsia="仿宋_GB2312" w:cs="仿宋_GB2312"/>
          <w:b w:val="0"/>
          <w:bCs w:val="0"/>
          <w:sz w:val="32"/>
          <w:szCs w:val="32"/>
        </w:rPr>
        <w:t>平方米</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信息公示透明、程序规范。</w:t>
      </w:r>
    </w:p>
    <w:p w14:paraId="5A93B1C2">
      <w:pPr>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val="en-US" w:eastAsia="zh-CN"/>
        </w:rPr>
        <w:t>（七）严格网签合同备案。</w:t>
      </w:r>
      <w:r>
        <w:rPr>
          <w:rFonts w:hint="eastAsia" w:ascii="仿宋_GB2312" w:hAnsi="仿宋_GB2312" w:eastAsia="仿宋_GB2312" w:cs="仿宋_GB2312"/>
          <w:b w:val="0"/>
          <w:bCs w:val="0"/>
          <w:sz w:val="32"/>
          <w:szCs w:val="32"/>
        </w:rPr>
        <w:t>积极推广湖南省新建商品房预售及现售合同</w:t>
      </w:r>
      <w:r>
        <w:rPr>
          <w:rFonts w:hint="eastAsia" w:ascii="仿宋_GB2312" w:hAnsi="仿宋_GB2312" w:eastAsia="仿宋_GB2312" w:cs="仿宋_GB2312"/>
          <w:b w:val="0"/>
          <w:bCs w:val="0"/>
          <w:sz w:val="32"/>
          <w:szCs w:val="32"/>
          <w:lang w:val="en-US" w:eastAsia="zh-CN"/>
        </w:rPr>
        <w:t>示范文本</w:t>
      </w:r>
      <w:r>
        <w:rPr>
          <w:rFonts w:hint="eastAsia" w:ascii="仿宋_GB2312" w:hAnsi="仿宋_GB2312" w:eastAsia="仿宋_GB2312" w:cs="仿宋_GB2312"/>
          <w:b w:val="0"/>
          <w:bCs w:val="0"/>
          <w:sz w:val="32"/>
          <w:szCs w:val="32"/>
        </w:rPr>
        <w:t>；完成全市</w:t>
      </w:r>
      <w:r>
        <w:rPr>
          <w:rFonts w:hint="eastAsia" w:ascii="仿宋_GB2312" w:hAnsi="仿宋_GB2312" w:eastAsia="仿宋_GB2312" w:cs="仿宋_GB2312"/>
          <w:b w:val="0"/>
          <w:bCs w:val="0"/>
          <w:sz w:val="32"/>
          <w:szCs w:val="32"/>
          <w:lang w:val="en-US" w:eastAsia="zh-CN"/>
        </w:rPr>
        <w:t>113</w:t>
      </w:r>
      <w:r>
        <w:rPr>
          <w:rFonts w:hint="eastAsia" w:ascii="仿宋_GB2312" w:hAnsi="仿宋_GB2312" w:eastAsia="仿宋_GB2312" w:cs="仿宋_GB2312"/>
          <w:b w:val="0"/>
          <w:bCs w:val="0"/>
          <w:sz w:val="32"/>
          <w:szCs w:val="32"/>
        </w:rPr>
        <w:t>个合同模板审核；完成商品房网签合同信息查询</w:t>
      </w:r>
      <w:r>
        <w:rPr>
          <w:rFonts w:hint="eastAsia" w:ascii="仿宋_GB2312" w:hAnsi="仿宋_GB2312" w:eastAsia="仿宋_GB2312" w:cs="仿宋_GB2312"/>
          <w:b w:val="0"/>
          <w:bCs w:val="0"/>
          <w:sz w:val="32"/>
          <w:szCs w:val="32"/>
          <w:lang w:val="en-US" w:eastAsia="zh-CN"/>
        </w:rPr>
        <w:t>93</w:t>
      </w:r>
      <w:r>
        <w:rPr>
          <w:rFonts w:hint="eastAsia" w:ascii="仿宋_GB2312" w:hAnsi="仿宋_GB2312" w:eastAsia="仿宋_GB2312" w:cs="仿宋_GB2312"/>
          <w:b w:val="0"/>
          <w:bCs w:val="0"/>
          <w:sz w:val="32"/>
          <w:szCs w:val="32"/>
        </w:rPr>
        <w:t>份，查询房屋</w:t>
      </w:r>
      <w:r>
        <w:rPr>
          <w:rFonts w:hint="eastAsia" w:ascii="仿宋_GB2312" w:hAnsi="仿宋_GB2312" w:eastAsia="仿宋_GB2312" w:cs="仿宋_GB2312"/>
          <w:b w:val="0"/>
          <w:bCs w:val="0"/>
          <w:sz w:val="32"/>
          <w:szCs w:val="32"/>
          <w:lang w:val="en-US" w:eastAsia="zh-CN"/>
        </w:rPr>
        <w:t>9745</w:t>
      </w:r>
      <w:r>
        <w:rPr>
          <w:rFonts w:hint="eastAsia" w:ascii="仿宋_GB2312" w:hAnsi="仿宋_GB2312" w:eastAsia="仿宋_GB2312" w:cs="仿宋_GB2312"/>
          <w:b w:val="0"/>
          <w:bCs w:val="0"/>
          <w:sz w:val="32"/>
          <w:szCs w:val="32"/>
        </w:rPr>
        <w:t>套；完成房屋交易内部限制及解除房屋</w:t>
      </w:r>
      <w:r>
        <w:rPr>
          <w:rFonts w:hint="eastAsia" w:ascii="仿宋_GB2312" w:hAnsi="仿宋_GB2312" w:eastAsia="仿宋_GB2312" w:cs="仿宋_GB2312"/>
          <w:b w:val="0"/>
          <w:bCs w:val="0"/>
          <w:sz w:val="32"/>
          <w:szCs w:val="32"/>
          <w:lang w:val="en-US" w:eastAsia="zh-CN"/>
        </w:rPr>
        <w:t>134</w:t>
      </w:r>
      <w:r>
        <w:rPr>
          <w:rFonts w:hint="eastAsia" w:ascii="仿宋_GB2312" w:hAnsi="仿宋_GB2312" w:eastAsia="仿宋_GB2312" w:cs="仿宋_GB2312"/>
          <w:b w:val="0"/>
          <w:bCs w:val="0"/>
          <w:sz w:val="32"/>
          <w:szCs w:val="32"/>
        </w:rPr>
        <w:t>件，涉及房屋248套，有效防范交易风险</w:t>
      </w:r>
      <w:r>
        <w:rPr>
          <w:rFonts w:hint="eastAsia" w:ascii="仿宋_GB2312" w:hAnsi="仿宋_GB2312" w:eastAsia="仿宋_GB2312" w:cs="仿宋_GB2312"/>
          <w:b w:val="0"/>
          <w:bCs w:val="0"/>
          <w:sz w:val="32"/>
          <w:szCs w:val="32"/>
          <w:lang w:eastAsia="zh-CN"/>
        </w:rPr>
        <w:t>。</w:t>
      </w:r>
    </w:p>
    <w:p w14:paraId="00393672">
      <w:pPr>
        <w:numPr>
          <w:ilvl w:val="0"/>
          <w:numId w:val="0"/>
        </w:numPr>
        <w:ind w:firstLine="640" w:firstLineChars="200"/>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lang w:val="en-US" w:eastAsia="zh-CN"/>
        </w:rPr>
        <w:t>（八）</w:t>
      </w:r>
      <w:r>
        <w:rPr>
          <w:rFonts w:hint="eastAsia" w:ascii="楷体_GB2312" w:hAnsi="楷体_GB2312" w:eastAsia="楷体_GB2312" w:cs="楷体_GB2312"/>
          <w:b w:val="0"/>
          <w:bCs w:val="0"/>
          <w:sz w:val="32"/>
          <w:szCs w:val="32"/>
        </w:rPr>
        <w:t>强化</w:t>
      </w:r>
      <w:r>
        <w:rPr>
          <w:rFonts w:hint="eastAsia" w:ascii="楷体_GB2312" w:hAnsi="楷体_GB2312" w:eastAsia="楷体_GB2312" w:cs="楷体_GB2312"/>
          <w:b w:val="0"/>
          <w:bCs w:val="0"/>
          <w:sz w:val="32"/>
          <w:szCs w:val="32"/>
          <w:lang w:val="en-US" w:eastAsia="zh-CN"/>
        </w:rPr>
        <w:t>交易</w:t>
      </w:r>
      <w:r>
        <w:rPr>
          <w:rFonts w:hint="eastAsia" w:ascii="楷体_GB2312" w:hAnsi="楷体_GB2312" w:eastAsia="楷体_GB2312" w:cs="楷体_GB2312"/>
          <w:b w:val="0"/>
          <w:bCs w:val="0"/>
          <w:sz w:val="32"/>
          <w:szCs w:val="32"/>
        </w:rPr>
        <w:t>资金监管。</w:t>
      </w:r>
      <w:r>
        <w:rPr>
          <w:rFonts w:hint="eastAsia" w:ascii="仿宋_GB2312" w:hAnsi="仿宋_GB2312" w:eastAsia="仿宋_GB2312" w:cs="仿宋_GB2312"/>
          <w:b w:val="0"/>
          <w:bCs w:val="0"/>
          <w:sz w:val="32"/>
          <w:szCs w:val="32"/>
        </w:rPr>
        <w:t>全面推进存量房交易资金监管，本年度已顺利开展多笔监管业务，保障交易资金安全。同时，通过建立“廉政风险防控清单”和发布“企业诚信红灰黑榜”，引导行业诚信经营。 </w:t>
      </w:r>
    </w:p>
    <w:p w14:paraId="580FCA52">
      <w:pPr>
        <w:numPr>
          <w:ilvl w:val="0"/>
          <w:numId w:val="0"/>
        </w:numPr>
        <w:ind w:firstLine="640" w:firstLineChars="200"/>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lang w:val="en-US" w:eastAsia="zh-CN"/>
        </w:rPr>
        <w:t>（九）</w:t>
      </w:r>
      <w:r>
        <w:rPr>
          <w:rFonts w:hint="eastAsia" w:ascii="楷体_GB2312" w:hAnsi="楷体_GB2312" w:eastAsia="楷体_GB2312" w:cs="楷体_GB2312"/>
          <w:b w:val="0"/>
          <w:bCs w:val="0"/>
          <w:sz w:val="32"/>
          <w:szCs w:val="32"/>
        </w:rPr>
        <w:t>常态开展监管检查。</w:t>
      </w:r>
      <w:r>
        <w:rPr>
          <w:rFonts w:hint="eastAsia" w:ascii="仿宋_GB2312" w:hAnsi="仿宋_GB2312" w:eastAsia="仿宋_GB2312" w:cs="仿宋_GB2312"/>
          <w:b w:val="0"/>
          <w:bCs w:val="0"/>
          <w:sz w:val="32"/>
          <w:szCs w:val="32"/>
        </w:rPr>
        <w:t>联合多部门开展</w:t>
      </w:r>
      <w:r>
        <w:rPr>
          <w:rFonts w:hint="eastAsia" w:ascii="仿宋_GB2312" w:hAnsi="仿宋_GB2312" w:eastAsia="仿宋_GB2312" w:cs="仿宋_GB2312"/>
          <w:b w:val="0"/>
          <w:bCs w:val="0"/>
          <w:sz w:val="32"/>
          <w:szCs w:val="32"/>
          <w:lang w:eastAsia="zh-CN"/>
        </w:rPr>
        <w:t>“双随机、一公开”</w:t>
      </w:r>
      <w:r>
        <w:rPr>
          <w:rFonts w:hint="eastAsia" w:ascii="仿宋_GB2312" w:hAnsi="仿宋_GB2312" w:eastAsia="仿宋_GB2312" w:cs="仿宋_GB2312"/>
          <w:b w:val="0"/>
          <w:bCs w:val="0"/>
          <w:sz w:val="32"/>
          <w:szCs w:val="32"/>
        </w:rPr>
        <w:t xml:space="preserve">现场检查，针对机构备案资质不规范、房源核验停滞等共性问题进行严肃处理，并建立整改复查机制。  </w:t>
      </w:r>
    </w:p>
    <w:p w14:paraId="5619C9AA">
      <w:pPr>
        <w:numPr>
          <w:ilvl w:val="0"/>
          <w:numId w:val="0"/>
        </w:numPr>
        <w:ind w:firstLine="640" w:firstLineChars="200"/>
      </w:pPr>
      <w:r>
        <w:rPr>
          <w:rFonts w:hint="eastAsia" w:ascii="楷体_GB2312" w:hAnsi="楷体_GB2312" w:eastAsia="楷体_GB2312" w:cs="楷体_GB2312"/>
          <w:b w:val="0"/>
          <w:bCs w:val="0"/>
          <w:sz w:val="32"/>
          <w:szCs w:val="32"/>
          <w:lang w:eastAsia="zh-CN"/>
        </w:rPr>
        <w:t>（十）</w:t>
      </w:r>
      <w:r>
        <w:rPr>
          <w:rFonts w:hint="eastAsia" w:ascii="楷体_GB2312" w:hAnsi="楷体_GB2312" w:eastAsia="楷体_GB2312" w:cs="楷体_GB2312"/>
          <w:b w:val="0"/>
          <w:bCs w:val="0"/>
          <w:sz w:val="32"/>
          <w:szCs w:val="32"/>
        </w:rPr>
        <w:t>高效处置信访矛盾。</w:t>
      </w:r>
      <w:r>
        <w:rPr>
          <w:rFonts w:hint="eastAsia" w:ascii="仿宋_GB2312" w:hAnsi="仿宋_GB2312" w:eastAsia="仿宋_GB2312" w:cs="仿宋_GB2312"/>
          <w:b w:val="0"/>
          <w:bCs w:val="0"/>
          <w:sz w:val="32"/>
          <w:szCs w:val="32"/>
        </w:rPr>
        <w:t>规范处置“12345”热线及市长信箱件</w:t>
      </w:r>
      <w:r>
        <w:rPr>
          <w:rFonts w:hint="eastAsia" w:ascii="仿宋_GB2312" w:hAnsi="仿宋_GB2312" w:eastAsia="仿宋_GB2312" w:cs="仿宋_GB2312"/>
          <w:b w:val="0"/>
          <w:bCs w:val="0"/>
          <w:sz w:val="32"/>
          <w:szCs w:val="32"/>
          <w:lang w:val="en-US" w:eastAsia="zh-CN"/>
        </w:rPr>
        <w:t>180次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处理国家信访局信访件3件，处理其他信访件37件，</w:t>
      </w:r>
      <w:r>
        <w:rPr>
          <w:rFonts w:hint="eastAsia" w:ascii="仿宋_GB2312" w:hAnsi="仿宋_GB2312" w:eastAsia="仿宋_GB2312" w:cs="仿宋_GB2312"/>
          <w:b w:val="0"/>
          <w:bCs w:val="0"/>
          <w:sz w:val="32"/>
          <w:szCs w:val="32"/>
        </w:rPr>
        <w:t>办结率达100%，依法妥善处理涉及变相返本销售等违法行为的查处案件，切实维护购房人权益。</w:t>
      </w:r>
    </w:p>
    <w:p w14:paraId="64AFC0A6">
      <w:pPr>
        <w:pStyle w:val="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七、</w:t>
      </w:r>
      <w:r>
        <w:rPr>
          <w:rFonts w:hint="default" w:ascii="Times New Roman" w:hAnsi="Times New Roman" w:eastAsia="黑体" w:cs="Times New Roman"/>
          <w:sz w:val="32"/>
          <w:szCs w:val="32"/>
          <w:highlight w:val="none"/>
        </w:rPr>
        <w:t>存在的问题及原因分析</w:t>
      </w:r>
    </w:p>
    <w:p w14:paraId="0A30003D">
      <w:pPr>
        <w:pStyle w:val="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(一)预算管理规范</w:t>
      </w:r>
      <w:r>
        <w:rPr>
          <w:rFonts w:hint="eastAsia" w:ascii="楷体_GB2312" w:hAnsi="楷体_GB2312" w:eastAsia="楷体_GB2312" w:cs="楷体_GB2312"/>
          <w:sz w:val="32"/>
          <w:szCs w:val="32"/>
          <w:highlight w:val="none"/>
          <w:lang w:eastAsia="zh-CN"/>
        </w:rPr>
        <w:t>化水平有待</w:t>
      </w:r>
      <w:r>
        <w:rPr>
          <w:rFonts w:hint="eastAsia" w:ascii="楷体_GB2312" w:hAnsi="楷体_GB2312" w:eastAsia="楷体_GB2312" w:cs="楷体_GB2312"/>
          <w:sz w:val="32"/>
          <w:szCs w:val="32"/>
          <w:highlight w:val="none"/>
          <w:lang w:val="en-US" w:eastAsia="zh-CN"/>
        </w:rPr>
        <w:t>提高</w:t>
      </w:r>
      <w:r>
        <w:rPr>
          <w:rFonts w:hint="eastAsia" w:ascii="楷体_GB2312" w:hAnsi="楷体_GB2312" w:eastAsia="楷体_GB2312" w:cs="楷体_GB2312"/>
          <w:sz w:val="32"/>
          <w:szCs w:val="32"/>
          <w:highlight w:val="none"/>
        </w:rPr>
        <w:t>。</w:t>
      </w:r>
      <w:r>
        <w:rPr>
          <w:rFonts w:hint="eastAsia" w:ascii="仿宋_GB2312" w:hAnsi="仿宋_GB2312" w:eastAsia="仿宋_GB2312" w:cs="仿宋_GB2312"/>
          <w:sz w:val="32"/>
          <w:szCs w:val="32"/>
          <w:highlight w:val="none"/>
          <w:lang w:eastAsia="zh-CN"/>
        </w:rPr>
        <w:t>一是预算指标设置不够科学，</w:t>
      </w:r>
      <w:r>
        <w:rPr>
          <w:rFonts w:hint="eastAsia" w:ascii="仿宋_GB2312" w:hAnsi="仿宋_GB2312" w:eastAsia="仿宋_GB2312" w:cs="仿宋_GB2312"/>
          <w:sz w:val="32"/>
          <w:szCs w:val="32"/>
          <w:highlight w:val="none"/>
        </w:rPr>
        <w:t>预算</w:t>
      </w:r>
      <w:r>
        <w:rPr>
          <w:rFonts w:hint="eastAsia" w:ascii="仿宋_GB2312" w:hAnsi="仿宋_GB2312" w:eastAsia="仿宋_GB2312" w:cs="仿宋_GB2312"/>
          <w:sz w:val="32"/>
          <w:szCs w:val="32"/>
          <w:highlight w:val="none"/>
          <w:lang w:eastAsia="zh-CN"/>
        </w:rPr>
        <w:t>编制的精准度有待提升；二是</w:t>
      </w:r>
      <w:r>
        <w:rPr>
          <w:rFonts w:hint="eastAsia" w:ascii="仿宋_GB2312" w:hAnsi="仿宋_GB2312" w:eastAsia="仿宋_GB2312" w:cs="仿宋_GB2312"/>
          <w:sz w:val="32"/>
          <w:szCs w:val="32"/>
          <w:highlight w:val="none"/>
        </w:rPr>
        <w:t>预算执行</w:t>
      </w:r>
      <w:r>
        <w:rPr>
          <w:rFonts w:hint="eastAsia" w:ascii="仿宋_GB2312" w:hAnsi="仿宋_GB2312" w:eastAsia="仿宋_GB2312" w:cs="仿宋_GB2312"/>
          <w:sz w:val="32"/>
          <w:szCs w:val="32"/>
          <w:highlight w:val="none"/>
          <w:lang w:eastAsia="zh-CN"/>
        </w:rPr>
        <w:t>呈现“</w:t>
      </w:r>
      <w:r>
        <w:rPr>
          <w:rFonts w:hint="eastAsia" w:ascii="仿宋_GB2312" w:hAnsi="仿宋_GB2312" w:eastAsia="仿宋_GB2312" w:cs="仿宋_GB2312"/>
          <w:sz w:val="32"/>
          <w:szCs w:val="32"/>
          <w:highlight w:val="none"/>
        </w:rPr>
        <w:t>前松后紧</w:t>
      </w:r>
      <w:r>
        <w:rPr>
          <w:rFonts w:hint="eastAsia" w:ascii="仿宋_GB2312" w:hAnsi="仿宋_GB2312" w:eastAsia="仿宋_GB2312" w:cs="仿宋_GB2312"/>
          <w:sz w:val="32"/>
          <w:szCs w:val="32"/>
          <w:highlight w:val="none"/>
          <w:lang w:eastAsia="zh-CN"/>
        </w:rPr>
        <w:t>”态势，</w:t>
      </w:r>
      <w:r>
        <w:rPr>
          <w:rFonts w:hint="eastAsia" w:ascii="仿宋_GB2312" w:hAnsi="仿宋_GB2312" w:eastAsia="仿宋_GB2312" w:cs="仿宋_GB2312"/>
          <w:sz w:val="32"/>
          <w:szCs w:val="32"/>
          <w:highlight w:val="none"/>
        </w:rPr>
        <w:t>经费</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rPr>
        <w:t>节奏</w:t>
      </w:r>
      <w:r>
        <w:rPr>
          <w:rFonts w:hint="eastAsia" w:ascii="仿宋_GB2312" w:hAnsi="仿宋_GB2312" w:eastAsia="仿宋_GB2312" w:cs="仿宋_GB2312"/>
          <w:sz w:val="32"/>
          <w:szCs w:val="32"/>
          <w:highlight w:val="none"/>
          <w:lang w:eastAsia="zh-CN"/>
        </w:rPr>
        <w:t>把控</w:t>
      </w:r>
      <w:r>
        <w:rPr>
          <w:rFonts w:hint="eastAsia" w:ascii="仿宋_GB2312" w:hAnsi="仿宋_GB2312" w:eastAsia="仿宋_GB2312" w:cs="仿宋_GB2312"/>
          <w:sz w:val="32"/>
          <w:szCs w:val="32"/>
          <w:highlight w:val="none"/>
        </w:rPr>
        <w:t>不严，</w:t>
      </w:r>
      <w:r>
        <w:rPr>
          <w:rFonts w:hint="eastAsia" w:ascii="仿宋_GB2312" w:hAnsi="仿宋_GB2312" w:eastAsia="仿宋_GB2312" w:cs="仿宋_GB2312"/>
          <w:sz w:val="32"/>
          <w:szCs w:val="32"/>
          <w:highlight w:val="none"/>
          <w:lang w:eastAsia="zh-CN"/>
        </w:rPr>
        <w:t>未能实现全年均衡有序支出，</w:t>
      </w:r>
      <w:r>
        <w:rPr>
          <w:rFonts w:hint="eastAsia" w:ascii="仿宋_GB2312" w:hAnsi="仿宋_GB2312" w:eastAsia="仿宋_GB2312" w:cs="仿宋_GB2312"/>
          <w:sz w:val="32"/>
          <w:szCs w:val="32"/>
          <w:highlight w:val="none"/>
        </w:rPr>
        <w:t>影响</w:t>
      </w:r>
      <w:r>
        <w:rPr>
          <w:rFonts w:hint="eastAsia" w:ascii="仿宋_GB2312" w:hAnsi="仿宋_GB2312" w:eastAsia="仿宋_GB2312" w:cs="仿宋_GB2312"/>
          <w:sz w:val="32"/>
          <w:szCs w:val="32"/>
          <w:highlight w:val="none"/>
          <w:lang w:eastAsia="zh-CN"/>
        </w:rPr>
        <w:t>了</w:t>
      </w:r>
      <w:r>
        <w:rPr>
          <w:rFonts w:hint="eastAsia" w:ascii="仿宋_GB2312" w:hAnsi="仿宋_GB2312" w:eastAsia="仿宋_GB2312" w:cs="仿宋_GB2312"/>
          <w:sz w:val="32"/>
          <w:szCs w:val="32"/>
          <w:highlight w:val="none"/>
        </w:rPr>
        <w:t>资金使用</w:t>
      </w:r>
      <w:r>
        <w:rPr>
          <w:rFonts w:hint="eastAsia" w:ascii="仿宋_GB2312" w:hAnsi="仿宋_GB2312" w:eastAsia="仿宋_GB2312" w:cs="仿宋_GB2312"/>
          <w:sz w:val="32"/>
          <w:szCs w:val="32"/>
          <w:highlight w:val="none"/>
          <w:lang w:eastAsia="zh-CN"/>
        </w:rPr>
        <w:t>效益</w:t>
      </w:r>
      <w:r>
        <w:rPr>
          <w:rFonts w:hint="eastAsia" w:ascii="仿宋_GB2312" w:hAnsi="仿宋_GB2312" w:eastAsia="仿宋_GB2312" w:cs="仿宋_GB2312"/>
          <w:sz w:val="32"/>
          <w:szCs w:val="32"/>
          <w:highlight w:val="none"/>
        </w:rPr>
        <w:t>和绩效管理成效。</w:t>
      </w:r>
    </w:p>
    <w:p w14:paraId="285C368B">
      <w:pPr>
        <w:pStyle w:val="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(二)财务管理人员专业能力有待提升</w:t>
      </w:r>
      <w:r>
        <w:rPr>
          <w:rFonts w:hint="eastAsia" w:ascii="楷体_GB2312" w:hAnsi="楷体_GB2312" w:eastAsia="楷体_GB2312" w:cs="楷体_GB2312"/>
          <w:sz w:val="32"/>
          <w:szCs w:val="32"/>
          <w:highlight w:val="none"/>
          <w:lang w:eastAsia="zh-CN"/>
        </w:rPr>
        <w:t>。</w:t>
      </w:r>
      <w:r>
        <w:rPr>
          <w:rFonts w:hint="eastAsia" w:ascii="仿宋_GB2312" w:hAnsi="仿宋_GB2312" w:eastAsia="仿宋_GB2312" w:cs="仿宋_GB2312"/>
          <w:sz w:val="32"/>
          <w:szCs w:val="32"/>
          <w:highlight w:val="none"/>
        </w:rPr>
        <w:t>财务人员</w:t>
      </w:r>
      <w:r>
        <w:rPr>
          <w:rFonts w:hint="eastAsia" w:ascii="仿宋_GB2312" w:hAnsi="仿宋_GB2312" w:eastAsia="仿宋_GB2312" w:cs="仿宋_GB2312"/>
          <w:sz w:val="32"/>
          <w:szCs w:val="32"/>
          <w:highlight w:val="none"/>
          <w:lang w:eastAsia="zh-CN"/>
        </w:rPr>
        <w:t>对相关</w:t>
      </w:r>
      <w:r>
        <w:rPr>
          <w:rFonts w:hint="eastAsia" w:ascii="仿宋_GB2312" w:hAnsi="仿宋_GB2312" w:eastAsia="仿宋_GB2312" w:cs="仿宋_GB2312"/>
          <w:sz w:val="32"/>
          <w:szCs w:val="32"/>
          <w:highlight w:val="none"/>
        </w:rPr>
        <w:t>政策法规学习不够系统深入，规范化管理</w:t>
      </w:r>
      <w:r>
        <w:rPr>
          <w:rFonts w:hint="eastAsia" w:ascii="仿宋_GB2312" w:hAnsi="仿宋_GB2312" w:eastAsia="仿宋_GB2312" w:cs="仿宋_GB2312"/>
          <w:sz w:val="32"/>
          <w:szCs w:val="32"/>
          <w:highlight w:val="none"/>
          <w:lang w:eastAsia="zh-CN"/>
        </w:rPr>
        <w:t>意识和</w:t>
      </w:r>
      <w:r>
        <w:rPr>
          <w:rFonts w:hint="eastAsia" w:ascii="仿宋_GB2312" w:hAnsi="仿宋_GB2312" w:eastAsia="仿宋_GB2312" w:cs="仿宋_GB2312"/>
          <w:sz w:val="32"/>
          <w:szCs w:val="32"/>
          <w:highlight w:val="none"/>
        </w:rPr>
        <w:t>风险防控意识</w:t>
      </w:r>
      <w:r>
        <w:rPr>
          <w:rFonts w:hint="eastAsia" w:ascii="仿宋_GB2312" w:hAnsi="仿宋_GB2312" w:eastAsia="仿宋_GB2312" w:cs="仿宋_GB2312"/>
          <w:sz w:val="32"/>
          <w:szCs w:val="32"/>
          <w:highlight w:val="none"/>
          <w:lang w:eastAsia="zh-CN"/>
        </w:rPr>
        <w:t>相对薄弱</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专业素养与精细化财务管理工作的要求尚有差距</w:t>
      </w:r>
      <w:r>
        <w:rPr>
          <w:rFonts w:hint="eastAsia" w:ascii="仿宋_GB2312" w:hAnsi="仿宋_GB2312" w:eastAsia="仿宋_GB2312" w:cs="仿宋_GB2312"/>
          <w:sz w:val="32"/>
          <w:szCs w:val="32"/>
          <w:highlight w:val="none"/>
        </w:rPr>
        <w:t>。</w:t>
      </w:r>
    </w:p>
    <w:p w14:paraId="7DBA5CB0">
      <w:pPr>
        <w:keepNext w:val="0"/>
        <w:keepLines w:val="0"/>
        <w:pageBreakBefore w:val="0"/>
        <w:widowControl w:val="0"/>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14:paraId="360E4EFB">
      <w:pPr>
        <w:pStyle w:val="2"/>
        <w:numPr>
          <w:ilvl w:val="0"/>
          <w:numId w:val="0"/>
        </w:numPr>
        <w:ind w:firstLine="640" w:firstLineChars="200"/>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强化预算全流程管控</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结合</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度工作职责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业务开展情况及历年支出数据，</w:t>
      </w:r>
      <w:r>
        <w:rPr>
          <w:rFonts w:hint="eastAsia" w:ascii="仿宋_GB2312" w:hAnsi="仿宋_GB2312" w:eastAsia="仿宋_GB2312" w:cs="仿宋_GB2312"/>
          <w:sz w:val="32"/>
          <w:szCs w:val="32"/>
          <w:lang w:eastAsia="zh-CN"/>
        </w:rPr>
        <w:t>提高预算编制的精准度和与实际需求的匹配度；</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健全</w:t>
      </w:r>
      <w:r>
        <w:rPr>
          <w:rFonts w:hint="eastAsia" w:ascii="仿宋_GB2312" w:hAnsi="仿宋_GB2312" w:eastAsia="仿宋_GB2312" w:cs="仿宋_GB2312"/>
          <w:sz w:val="32"/>
          <w:szCs w:val="32"/>
        </w:rPr>
        <w:t>预算执行动态监控机制，均衡把控全年预算执行进度</w:t>
      </w:r>
      <w:r>
        <w:rPr>
          <w:rFonts w:hint="eastAsia" w:ascii="仿宋_GB2312" w:hAnsi="仿宋_GB2312" w:eastAsia="仿宋_GB2312" w:cs="仿宋_GB2312"/>
          <w:sz w:val="32"/>
          <w:szCs w:val="32"/>
          <w:lang w:eastAsia="zh-CN"/>
        </w:rPr>
        <w:t>，强化预算刚性约束，确保预算执行有序、高效。</w:t>
      </w:r>
    </w:p>
    <w:p w14:paraId="0A4823F7">
      <w:pPr>
        <w:pStyle w:val="2"/>
        <w:numPr>
          <w:ilvl w:val="0"/>
          <w:numId w:val="0"/>
        </w:numPr>
        <w:ind w:firstLine="640" w:firstLineChars="200"/>
        <w:rPr>
          <w:rFonts w:hint="eastAsia"/>
        </w:rPr>
      </w:pPr>
      <w:r>
        <w:rPr>
          <w:rFonts w:hint="eastAsia" w:ascii="楷体_GB2312" w:hAnsi="楷体_GB2312" w:eastAsia="楷体_GB2312" w:cs="楷体_GB2312"/>
          <w:sz w:val="32"/>
          <w:szCs w:val="32"/>
        </w:rPr>
        <w:t>(二)加强财务人员专业教育培训。</w:t>
      </w:r>
      <w:r>
        <w:rPr>
          <w:rFonts w:hint="eastAsia" w:ascii="仿宋_GB2312" w:hAnsi="仿宋_GB2312" w:eastAsia="仿宋_GB2312" w:cs="仿宋_GB2312"/>
          <w:sz w:val="32"/>
          <w:szCs w:val="32"/>
        </w:rPr>
        <w:t>定期开展财务制度，预算管理，内控规范等业务学习，提升财务人员业务素养和履职能力，夯实单位财务管理基础。</w:t>
      </w:r>
    </w:p>
    <w:p w14:paraId="3F0ACCF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2B4F0BC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我中心整体支出绩效自评将在上级主管部门网站上同步公开。</w:t>
      </w:r>
    </w:p>
    <w:p w14:paraId="5789E22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14:paraId="30801F59">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无</w:t>
      </w:r>
    </w:p>
    <w:p w14:paraId="46B9DB96">
      <w:pPr>
        <w:pStyle w:val="2"/>
        <w:rPr>
          <w:rFonts w:hint="eastAsia"/>
          <w:lang w:eastAsia="zh-CN"/>
        </w:rPr>
      </w:pPr>
    </w:p>
    <w:p w14:paraId="67F3FA5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2602678C">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3ACB05D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18F2262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07C8D185">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2B592DE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42753BC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22"/>
          <w:szCs w:val="2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15487CD6"/>
    <w:p w14:paraId="4238A143">
      <w:pPr>
        <w:pStyle w:val="2"/>
      </w:pPr>
    </w:p>
    <w:p w14:paraId="006B80FB"/>
    <w:p w14:paraId="4879F6E2">
      <w:pPr>
        <w:pStyle w:val="2"/>
      </w:pPr>
    </w:p>
    <w:p w14:paraId="0830AA70"/>
    <w:p w14:paraId="2DCF007E">
      <w:pPr>
        <w:pStyle w:val="2"/>
      </w:pPr>
    </w:p>
    <w:p w14:paraId="290A6E36"/>
    <w:p w14:paraId="31D308E1">
      <w:pPr>
        <w:pStyle w:val="2"/>
      </w:pPr>
    </w:p>
    <w:p w14:paraId="58DEA9DC"/>
    <w:p w14:paraId="453BC5F7">
      <w:pPr>
        <w:pStyle w:val="2"/>
      </w:pPr>
    </w:p>
    <w:p w14:paraId="7FA2AACD"/>
    <w:p w14:paraId="3CD2F674">
      <w:pPr>
        <w:pStyle w:val="2"/>
      </w:pPr>
    </w:p>
    <w:p w14:paraId="1FB8499B"/>
    <w:p w14:paraId="625ACCDE">
      <w:pPr>
        <w:pStyle w:val="2"/>
      </w:pPr>
    </w:p>
    <w:p w14:paraId="0AC3EFA6">
      <w:pPr>
        <w:keepNext w:val="0"/>
        <w:keepLines w:val="0"/>
        <w:pageBreakBefore w:val="0"/>
        <w:widowControl w:val="0"/>
        <w:kinsoku/>
        <w:overflowPunct/>
        <w:topLinePunct w:val="0"/>
        <w:autoSpaceDE/>
        <w:autoSpaceDN/>
        <w:bidi w:val="0"/>
        <w:adjustRightInd/>
        <w:snapToGrid/>
        <w:spacing w:after="0" w:afterLines="0" w:line="500" w:lineRule="exact"/>
        <w:ind w:firstLine="320" w:firstLineChars="10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5E870B0B">
      <w:pPr>
        <w:keepNext w:val="0"/>
        <w:keepLines w:val="0"/>
        <w:pageBreakBefore w:val="0"/>
        <w:widowControl w:val="0"/>
        <w:kinsoku/>
        <w:overflowPunct/>
        <w:topLinePunct w:val="0"/>
        <w:autoSpaceDE/>
        <w:autoSpaceDN/>
        <w:bidi w:val="0"/>
        <w:adjustRightInd/>
        <w:snapToGrid/>
        <w:spacing w:after="120" w:afterLines="50" w:line="600" w:lineRule="exact"/>
        <w:jc w:val="center"/>
        <w:textAlignment w:val="auto"/>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5</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3"/>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15ABB2A0">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5BDCAA6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26BB862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0C10371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37024F6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4F4B8E47">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3E75310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5333B36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21</w:t>
            </w:r>
          </w:p>
        </w:tc>
        <w:tc>
          <w:tcPr>
            <w:tcW w:w="2240" w:type="dxa"/>
            <w:gridSpan w:val="2"/>
            <w:tcBorders>
              <w:top w:val="single" w:color="auto" w:sz="4" w:space="0"/>
              <w:left w:val="nil"/>
              <w:bottom w:val="single" w:color="auto" w:sz="4" w:space="0"/>
              <w:right w:val="single" w:color="auto" w:sz="4" w:space="0"/>
            </w:tcBorders>
            <w:noWrap w:val="0"/>
            <w:vAlign w:val="center"/>
          </w:tcPr>
          <w:p w14:paraId="5360A1C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14:paraId="7714486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95.24%</w:t>
            </w:r>
            <w:r>
              <w:rPr>
                <w:rFonts w:hint="eastAsia" w:ascii="仿宋_GB2312" w:hAnsi="仿宋_GB2312" w:eastAsia="仿宋_GB2312" w:cs="仿宋_GB2312"/>
                <w:sz w:val="20"/>
                <w:szCs w:val="20"/>
                <w:highlight w:val="none"/>
              </w:rPr>
              <w:t>　</w:t>
            </w:r>
          </w:p>
        </w:tc>
      </w:tr>
      <w:tr w14:paraId="1E5FF18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E2FB86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074FE26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3F3E35B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02BFA0E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年决算数</w:t>
            </w:r>
          </w:p>
        </w:tc>
      </w:tr>
      <w:tr w14:paraId="603F971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772640D">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973158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75E5715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0</w:t>
            </w:r>
            <w:r>
              <w:rPr>
                <w:rFonts w:hint="default" w:ascii="仿宋_GB2312" w:hAnsi="仿宋_GB2312" w:eastAsia="仿宋_GB2312" w:cs="仿宋_GB2312"/>
                <w:sz w:val="20"/>
                <w:szCs w:val="20"/>
                <w:highlight w:val="none"/>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14:paraId="048AA5A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3C9F217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89C37E1">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0F0AC9B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0EBCF4C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3C2C1C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7EE6813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D7D7B7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5C1BD85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394C47A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3DF4AB2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7D4261D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FE1B787">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4EEFB94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1A9117A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19011F8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6B96662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84FFDBA">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1181D9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45EA659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3D04610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4D58952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106FDB2">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1722194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27B1F63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14:paraId="79FF66A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0C7D527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935E297">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0A72A8C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29.22</w:t>
            </w:r>
          </w:p>
        </w:tc>
        <w:tc>
          <w:tcPr>
            <w:tcW w:w="2240" w:type="dxa"/>
            <w:gridSpan w:val="2"/>
            <w:tcBorders>
              <w:top w:val="single" w:color="auto" w:sz="4" w:space="0"/>
              <w:left w:val="nil"/>
              <w:bottom w:val="single" w:color="auto" w:sz="4" w:space="0"/>
              <w:right w:val="single" w:color="000000" w:sz="4" w:space="0"/>
            </w:tcBorders>
            <w:noWrap w:val="0"/>
            <w:vAlign w:val="center"/>
          </w:tcPr>
          <w:p w14:paraId="6599BBE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E98FDB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1483657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38DB5B8">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76D87B2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057B643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526C895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6C3016B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3F3F371">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B1456C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1050409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58292D7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2B49431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4A53D07">
            <w:pPr>
              <w:keepNext w:val="0"/>
              <w:keepLines w:val="0"/>
              <w:pageBreakBefore w:val="0"/>
              <w:widowControl w:val="0"/>
              <w:kinsoku/>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329965F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29.22</w:t>
            </w:r>
          </w:p>
        </w:tc>
        <w:tc>
          <w:tcPr>
            <w:tcW w:w="2240" w:type="dxa"/>
            <w:gridSpan w:val="2"/>
            <w:tcBorders>
              <w:top w:val="single" w:color="auto" w:sz="4" w:space="0"/>
              <w:left w:val="nil"/>
              <w:bottom w:val="single" w:color="auto" w:sz="4" w:space="0"/>
              <w:right w:val="single" w:color="000000" w:sz="4" w:space="0"/>
            </w:tcBorders>
            <w:noWrap w:val="0"/>
            <w:vAlign w:val="center"/>
          </w:tcPr>
          <w:p w14:paraId="6CC3501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3241C20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7866EB8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1107F20">
            <w:pPr>
              <w:keepNext w:val="0"/>
              <w:keepLines w:val="0"/>
              <w:pageBreakBefore w:val="0"/>
              <w:widowControl w:val="0"/>
              <w:kinsoku/>
              <w:overflowPunct/>
              <w:topLinePunct w:val="0"/>
              <w:autoSpaceDE/>
              <w:autoSpaceDN/>
              <w:bidi w:val="0"/>
              <w:adjustRightInd/>
              <w:snapToGrid/>
              <w:spacing w:line="360" w:lineRule="exact"/>
              <w:ind w:firstLine="400" w:firstLineChars="200"/>
              <w:jc w:val="both"/>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办证专项经费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A352A1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29.22</w:t>
            </w:r>
          </w:p>
        </w:tc>
        <w:tc>
          <w:tcPr>
            <w:tcW w:w="2240" w:type="dxa"/>
            <w:gridSpan w:val="2"/>
            <w:tcBorders>
              <w:top w:val="single" w:color="auto" w:sz="4" w:space="0"/>
              <w:left w:val="nil"/>
              <w:bottom w:val="single" w:color="auto" w:sz="4" w:space="0"/>
              <w:right w:val="single" w:color="000000" w:sz="4" w:space="0"/>
            </w:tcBorders>
            <w:noWrap w:val="0"/>
            <w:vAlign w:val="center"/>
          </w:tcPr>
          <w:p w14:paraId="0461F37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3FA7CE5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20370A0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905E893">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026CE4D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15.68</w:t>
            </w:r>
          </w:p>
        </w:tc>
        <w:tc>
          <w:tcPr>
            <w:tcW w:w="2240" w:type="dxa"/>
            <w:gridSpan w:val="2"/>
            <w:tcBorders>
              <w:top w:val="single" w:color="auto" w:sz="4" w:space="0"/>
              <w:left w:val="nil"/>
              <w:bottom w:val="single" w:color="auto" w:sz="4" w:space="0"/>
              <w:right w:val="single" w:color="000000" w:sz="4" w:space="0"/>
            </w:tcBorders>
            <w:noWrap w:val="0"/>
            <w:vAlign w:val="center"/>
          </w:tcPr>
          <w:p w14:paraId="7F024A3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34.05</w:t>
            </w:r>
          </w:p>
        </w:tc>
        <w:tc>
          <w:tcPr>
            <w:tcW w:w="2041" w:type="dxa"/>
            <w:gridSpan w:val="2"/>
            <w:tcBorders>
              <w:top w:val="single" w:color="auto" w:sz="4" w:space="0"/>
              <w:left w:val="nil"/>
              <w:bottom w:val="single" w:color="auto" w:sz="4" w:space="0"/>
              <w:right w:val="single" w:color="000000" w:sz="4" w:space="0"/>
            </w:tcBorders>
            <w:noWrap w:val="0"/>
            <w:vAlign w:val="center"/>
          </w:tcPr>
          <w:p w14:paraId="631F140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30.35</w:t>
            </w:r>
          </w:p>
        </w:tc>
      </w:tr>
      <w:tr w14:paraId="59CB3C8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B65BCB8">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30B1EE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15.23</w:t>
            </w:r>
          </w:p>
        </w:tc>
        <w:tc>
          <w:tcPr>
            <w:tcW w:w="2240" w:type="dxa"/>
            <w:gridSpan w:val="2"/>
            <w:tcBorders>
              <w:top w:val="single" w:color="auto" w:sz="4" w:space="0"/>
              <w:left w:val="nil"/>
              <w:bottom w:val="single" w:color="auto" w:sz="4" w:space="0"/>
              <w:right w:val="single" w:color="000000" w:sz="4" w:space="0"/>
            </w:tcBorders>
            <w:noWrap w:val="0"/>
            <w:vAlign w:val="center"/>
          </w:tcPr>
          <w:p w14:paraId="2C3AC84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33.05</w:t>
            </w:r>
          </w:p>
        </w:tc>
        <w:tc>
          <w:tcPr>
            <w:tcW w:w="2041" w:type="dxa"/>
            <w:gridSpan w:val="2"/>
            <w:tcBorders>
              <w:top w:val="single" w:color="auto" w:sz="4" w:space="0"/>
              <w:left w:val="nil"/>
              <w:bottom w:val="single" w:color="auto" w:sz="4" w:space="0"/>
              <w:right w:val="single" w:color="000000" w:sz="4" w:space="0"/>
            </w:tcBorders>
            <w:noWrap w:val="0"/>
            <w:vAlign w:val="center"/>
          </w:tcPr>
          <w:p w14:paraId="00D3F87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30.29</w:t>
            </w:r>
          </w:p>
        </w:tc>
      </w:tr>
      <w:tr w14:paraId="64EA727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2A3BE8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304BB42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0.45</w:t>
            </w:r>
          </w:p>
        </w:tc>
        <w:tc>
          <w:tcPr>
            <w:tcW w:w="2240" w:type="dxa"/>
            <w:gridSpan w:val="2"/>
            <w:tcBorders>
              <w:top w:val="single" w:color="auto" w:sz="4" w:space="0"/>
              <w:left w:val="nil"/>
              <w:bottom w:val="single" w:color="auto" w:sz="4" w:space="0"/>
              <w:right w:val="single" w:color="000000" w:sz="4" w:space="0"/>
            </w:tcBorders>
            <w:noWrap w:val="0"/>
            <w:vAlign w:val="center"/>
          </w:tcPr>
          <w:p w14:paraId="6B2F050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w:t>
            </w:r>
          </w:p>
        </w:tc>
        <w:tc>
          <w:tcPr>
            <w:tcW w:w="2041" w:type="dxa"/>
            <w:gridSpan w:val="2"/>
            <w:tcBorders>
              <w:top w:val="single" w:color="auto" w:sz="4" w:space="0"/>
              <w:left w:val="nil"/>
              <w:bottom w:val="single" w:color="auto" w:sz="4" w:space="0"/>
              <w:right w:val="single" w:color="000000" w:sz="4" w:space="0"/>
            </w:tcBorders>
            <w:noWrap w:val="0"/>
            <w:vAlign w:val="center"/>
          </w:tcPr>
          <w:p w14:paraId="0E3AF89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0.06</w:t>
            </w:r>
          </w:p>
        </w:tc>
      </w:tr>
      <w:tr w14:paraId="487179C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2CDF051">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05E1E45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53A00F3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607E67B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r>
      <w:tr w14:paraId="5774A32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FF936D5">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5E64D4F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16.98</w:t>
            </w:r>
          </w:p>
        </w:tc>
        <w:tc>
          <w:tcPr>
            <w:tcW w:w="2240" w:type="dxa"/>
            <w:gridSpan w:val="2"/>
            <w:tcBorders>
              <w:top w:val="single" w:color="auto" w:sz="4" w:space="0"/>
              <w:left w:val="nil"/>
              <w:bottom w:val="single" w:color="auto" w:sz="4" w:space="0"/>
              <w:right w:val="single" w:color="000000" w:sz="4" w:space="0"/>
            </w:tcBorders>
            <w:noWrap w:val="0"/>
            <w:vAlign w:val="center"/>
          </w:tcPr>
          <w:p w14:paraId="5AB44BB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16.4</w:t>
            </w:r>
          </w:p>
        </w:tc>
        <w:tc>
          <w:tcPr>
            <w:tcW w:w="2041" w:type="dxa"/>
            <w:gridSpan w:val="2"/>
            <w:tcBorders>
              <w:top w:val="single" w:color="auto" w:sz="4" w:space="0"/>
              <w:left w:val="nil"/>
              <w:bottom w:val="single" w:color="auto" w:sz="4" w:space="0"/>
              <w:right w:val="single" w:color="000000" w:sz="4" w:space="0"/>
            </w:tcBorders>
            <w:noWrap w:val="0"/>
            <w:vAlign w:val="center"/>
          </w:tcPr>
          <w:p w14:paraId="5AE55E1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r>
      <w:tr w14:paraId="441384BE">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687A35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39CAE22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263.2</w:t>
            </w:r>
          </w:p>
        </w:tc>
        <w:tc>
          <w:tcPr>
            <w:tcW w:w="2240" w:type="dxa"/>
            <w:gridSpan w:val="2"/>
            <w:tcBorders>
              <w:top w:val="single" w:color="auto" w:sz="4" w:space="0"/>
              <w:left w:val="nil"/>
              <w:bottom w:val="single" w:color="auto" w:sz="4" w:space="0"/>
              <w:right w:val="single" w:color="000000" w:sz="4" w:space="0"/>
            </w:tcBorders>
            <w:noWrap w:val="0"/>
            <w:vAlign w:val="center"/>
          </w:tcPr>
          <w:p w14:paraId="2FD5A08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default" w:ascii="仿宋_GB2312" w:hAnsi="仿宋_GB2312" w:eastAsia="仿宋_GB2312" w:cs="仿宋_GB2312"/>
                <w:sz w:val="20"/>
                <w:szCs w:val="20"/>
                <w:highlight w:val="none"/>
                <w:lang w:val="en-US" w:eastAsia="zh-CN"/>
              </w:rPr>
              <w:t>366.63</w:t>
            </w:r>
          </w:p>
        </w:tc>
        <w:tc>
          <w:tcPr>
            <w:tcW w:w="2041" w:type="dxa"/>
            <w:gridSpan w:val="2"/>
            <w:tcBorders>
              <w:top w:val="single" w:color="auto" w:sz="4" w:space="0"/>
              <w:left w:val="nil"/>
              <w:bottom w:val="single" w:color="auto" w:sz="4" w:space="0"/>
              <w:right w:val="single" w:color="000000" w:sz="4" w:space="0"/>
            </w:tcBorders>
            <w:noWrap w:val="0"/>
            <w:vAlign w:val="center"/>
          </w:tcPr>
          <w:p w14:paraId="27E32EA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356.2</w:t>
            </w:r>
            <w:r>
              <w:rPr>
                <w:rFonts w:hint="default" w:ascii="仿宋_GB2312" w:hAnsi="仿宋_GB2312" w:eastAsia="仿宋_GB2312" w:cs="仿宋_GB2312"/>
                <w:sz w:val="20"/>
                <w:szCs w:val="20"/>
                <w:highlight w:val="none"/>
                <w:lang w:val="en-US" w:eastAsia="zh-CN"/>
              </w:rPr>
              <w:t>7</w:t>
            </w:r>
          </w:p>
        </w:tc>
      </w:tr>
      <w:tr w14:paraId="4C1533EB">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5D59DF5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0EDEE70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14B64B8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61CB533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31CC233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24DC69B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3E93A38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540EED80">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456416C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7AE2E86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14:paraId="6DB03A3D">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14:paraId="0CEDBE5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14:paraId="1571203C">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14:paraId="4526B38E">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14:paraId="387D118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r>
      <w:tr w14:paraId="5F5248C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33A00C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3CB297DF">
            <w:pPr>
              <w:widowControl/>
              <w:spacing w:line="360" w:lineRule="exact"/>
              <w:ind w:firstLine="400" w:firstLineChars="200"/>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1.党员干部起模范带头作用，精打细算，厉行节约</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rPr>
              <w:t>严格控制公用经费。</w:t>
            </w:r>
          </w:p>
          <w:p w14:paraId="4346659E">
            <w:pPr>
              <w:keepNext w:val="0"/>
              <w:keepLines w:val="0"/>
              <w:pageBreakBefore w:val="0"/>
              <w:widowControl w:val="0"/>
              <w:kinsoku/>
              <w:overflowPunct/>
              <w:topLinePunct w:val="0"/>
              <w:autoSpaceDE/>
              <w:autoSpaceDN/>
              <w:bidi w:val="0"/>
              <w:adjustRightInd/>
              <w:snapToGrid/>
              <w:spacing w:line="360" w:lineRule="exact"/>
              <w:ind w:firstLine="400" w:firstLineChars="20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w:t>
            </w:r>
            <w:r>
              <w:rPr>
                <w:rFonts w:hint="eastAsia" w:ascii="仿宋_GB2312" w:hAnsi="仿宋_GB2312" w:eastAsia="仿宋_GB2312" w:cs="仿宋_GB2312"/>
                <w:sz w:val="20"/>
                <w:szCs w:val="20"/>
                <w:highlight w:val="none"/>
              </w:rPr>
              <w:t>.加强对预算管理及财务收支管理。严格</w:t>
            </w:r>
            <w:r>
              <w:rPr>
                <w:rFonts w:hint="eastAsia" w:ascii="仿宋_GB2312" w:hAnsi="仿宋_GB2312" w:eastAsia="仿宋_GB2312" w:cs="仿宋_GB2312"/>
                <w:sz w:val="20"/>
                <w:szCs w:val="20"/>
                <w:highlight w:val="none"/>
                <w:lang w:val="en-US" w:eastAsia="zh-CN"/>
              </w:rPr>
              <w:t>按</w:t>
            </w:r>
            <w:r>
              <w:rPr>
                <w:rFonts w:hint="eastAsia" w:ascii="仿宋_GB2312" w:hAnsi="仿宋_GB2312" w:eastAsia="仿宋_GB2312" w:cs="仿宋_GB2312"/>
                <w:sz w:val="20"/>
                <w:szCs w:val="20"/>
                <w:highlight w:val="none"/>
              </w:rPr>
              <w:t>照“先有预算后有支出”预算管理要求，控制经费预算，对超预算资金严格管控；加强财务收支管理，对支出每笔费用认真审核，对不符合规定的费用拒绝支付，把控资金支付的合规性、合法性、准确性。　　</w:t>
            </w:r>
          </w:p>
        </w:tc>
      </w:tr>
    </w:tbl>
    <w:p w14:paraId="25A54A33">
      <w:pPr>
        <w:keepNext w:val="0"/>
        <w:keepLines w:val="0"/>
        <w:pageBreakBefore w:val="0"/>
        <w:widowControl w:val="0"/>
        <w:kinsoku/>
        <w:overflowPunct/>
        <w:topLinePunct w:val="0"/>
        <w:autoSpaceDE/>
        <w:autoSpaceDN/>
        <w:bidi w:val="0"/>
        <w:adjustRightInd/>
        <w:snapToGrid/>
        <w:spacing w:afterLines="0" w:line="400" w:lineRule="exact"/>
        <w:ind w:left="660" w:hanging="660" w:hangingChars="300"/>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321D70CC">
      <w:pPr>
        <w:keepNext w:val="0"/>
        <w:keepLines w:val="0"/>
        <w:pageBreakBefore w:val="0"/>
        <w:widowControl w:val="0"/>
        <w:kinsoku/>
        <w:overflowPunct/>
        <w:topLinePunct w:val="0"/>
        <w:autoSpaceDE/>
        <w:autoSpaceDN/>
        <w:bidi w:val="0"/>
        <w:adjustRightInd/>
        <w:snapToGrid/>
        <w:spacing w:afterLines="0" w:line="400" w:lineRule="exact"/>
        <w:jc w:val="left"/>
        <w:textAlignment w:val="auto"/>
        <w:rPr>
          <w:rFonts w:hint="default" w:ascii="Times New Roman" w:hAnsi="Times New Roman" w:eastAsia="仿宋_GB2312" w:cs="Times New Roman"/>
          <w:sz w:val="22"/>
          <w:highlight w:val="none"/>
        </w:rPr>
      </w:pPr>
    </w:p>
    <w:p w14:paraId="259412BE">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38129D2E">
      <w:pPr>
        <w:keepNext w:val="0"/>
        <w:keepLines w:val="0"/>
        <w:pageBreakBefore w:val="0"/>
        <w:widowControl w:val="0"/>
        <w:kinsoku/>
        <w:overflowPunct/>
        <w:topLinePunct w:val="0"/>
        <w:autoSpaceDE/>
        <w:autoSpaceDN/>
        <w:bidi w:val="0"/>
        <w:adjustRightInd/>
        <w:snapToGrid/>
        <w:spacing w:after="120" w:afterLines="50"/>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4158071D">
        <w:tblPrEx>
          <w:tblCellMar>
            <w:top w:w="0" w:type="dxa"/>
            <w:left w:w="108" w:type="dxa"/>
            <w:bottom w:w="0" w:type="dxa"/>
            <w:right w:w="108" w:type="dxa"/>
          </w:tblCellMar>
        </w:tblPrEx>
        <w:trPr>
          <w:trHeight w:val="429"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9A5D3E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407C233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岳阳市房地产交易中心</w:t>
            </w:r>
          </w:p>
        </w:tc>
      </w:tr>
      <w:tr w14:paraId="07BCB15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26A825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05518DF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14:paraId="664065C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14:paraId="7D55FF7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14:paraId="14A8ADD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14:paraId="5080EF3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14:paraId="55B597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54C556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14:paraId="189E896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DD7BC79">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14:paraId="7DC87CA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14:paraId="3622CBD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14:paraId="78194A8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315.07</w:t>
            </w:r>
          </w:p>
        </w:tc>
        <w:tc>
          <w:tcPr>
            <w:tcW w:w="1311" w:type="dxa"/>
            <w:tcBorders>
              <w:top w:val="nil"/>
              <w:left w:val="nil"/>
              <w:bottom w:val="single" w:color="auto" w:sz="4" w:space="0"/>
              <w:right w:val="single" w:color="auto" w:sz="4" w:space="0"/>
            </w:tcBorders>
            <w:noWrap w:val="0"/>
            <w:vAlign w:val="center"/>
          </w:tcPr>
          <w:p w14:paraId="60F9058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366.63</w:t>
            </w:r>
          </w:p>
        </w:tc>
        <w:tc>
          <w:tcPr>
            <w:tcW w:w="1269" w:type="dxa"/>
            <w:tcBorders>
              <w:top w:val="nil"/>
              <w:left w:val="nil"/>
              <w:bottom w:val="single" w:color="auto" w:sz="4" w:space="0"/>
              <w:right w:val="single" w:color="auto" w:sz="4" w:space="0"/>
            </w:tcBorders>
            <w:noWrap w:val="0"/>
            <w:vAlign w:val="center"/>
          </w:tcPr>
          <w:p w14:paraId="041A7C1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356.2</w:t>
            </w:r>
            <w:r>
              <w:rPr>
                <w:rFonts w:hint="default" w:ascii="仿宋_GB2312" w:hAnsi="仿宋_GB2312" w:eastAsia="仿宋_GB2312" w:cs="仿宋_GB2312"/>
                <w:sz w:val="20"/>
                <w:szCs w:val="20"/>
                <w:highlight w:val="none"/>
                <w:lang w:val="en-US" w:eastAsia="zh-CN"/>
              </w:rPr>
              <w:t>7</w:t>
            </w:r>
          </w:p>
        </w:tc>
        <w:tc>
          <w:tcPr>
            <w:tcW w:w="716" w:type="dxa"/>
            <w:tcBorders>
              <w:top w:val="nil"/>
              <w:left w:val="nil"/>
              <w:bottom w:val="single" w:color="auto" w:sz="4" w:space="0"/>
              <w:right w:val="single" w:color="auto" w:sz="4" w:space="0"/>
            </w:tcBorders>
            <w:noWrap w:val="0"/>
            <w:vAlign w:val="center"/>
          </w:tcPr>
          <w:p w14:paraId="6AAAD10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22C355F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97.</w:t>
            </w:r>
            <w:r>
              <w:rPr>
                <w:rFonts w:hint="default" w:ascii="仿宋_GB2312" w:hAnsi="仿宋_GB2312" w:eastAsia="仿宋_GB2312" w:cs="仿宋_GB2312"/>
                <w:sz w:val="20"/>
                <w:szCs w:val="20"/>
                <w:highlight w:val="none"/>
                <w:lang w:val="en-US" w:eastAsia="zh-CN"/>
              </w:rPr>
              <w:t>17</w:t>
            </w:r>
            <w:r>
              <w:rPr>
                <w:rFonts w:hint="eastAsia" w:ascii="仿宋_GB2312" w:hAnsi="仿宋_GB2312" w:eastAsia="仿宋_GB2312" w:cs="仿宋_GB2312"/>
                <w:sz w:val="20"/>
                <w:szCs w:val="20"/>
                <w:highlight w:val="none"/>
                <w:lang w:val="en-US" w:eastAsia="zh-CN"/>
              </w:rPr>
              <w:t>%</w:t>
            </w:r>
          </w:p>
        </w:tc>
        <w:tc>
          <w:tcPr>
            <w:tcW w:w="1446" w:type="dxa"/>
            <w:tcBorders>
              <w:top w:val="nil"/>
              <w:left w:val="nil"/>
              <w:bottom w:val="single" w:color="auto" w:sz="4" w:space="0"/>
              <w:right w:val="single" w:color="auto" w:sz="4" w:space="0"/>
            </w:tcBorders>
            <w:noWrap w:val="0"/>
            <w:vAlign w:val="center"/>
          </w:tcPr>
          <w:p w14:paraId="471763C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9.72</w:t>
            </w:r>
          </w:p>
        </w:tc>
      </w:tr>
      <w:tr w14:paraId="561A900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C7BA3E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000D79A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14:paraId="167B518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518CE1E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13FC65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2B309E0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3</w:t>
            </w:r>
            <w:r>
              <w:rPr>
                <w:rFonts w:hint="default" w:ascii="仿宋_GB2312" w:hAnsi="仿宋_GB2312" w:eastAsia="仿宋_GB2312" w:cs="仿宋_GB2312"/>
                <w:color w:val="000000"/>
                <w:sz w:val="20"/>
                <w:szCs w:val="20"/>
                <w:highlight w:val="none"/>
                <w:lang w:val="en-US" w:eastAsia="zh-CN"/>
              </w:rPr>
              <w:t>5</w:t>
            </w:r>
            <w:r>
              <w:rPr>
                <w:rFonts w:hint="eastAsia" w:ascii="仿宋_GB2312" w:hAnsi="仿宋_GB2312" w:eastAsia="仿宋_GB2312" w:cs="仿宋_GB2312"/>
                <w:color w:val="000000"/>
                <w:sz w:val="20"/>
                <w:szCs w:val="20"/>
                <w:highlight w:val="none"/>
                <w:lang w:val="en-US" w:eastAsia="zh-CN"/>
              </w:rPr>
              <w:t>6.2</w:t>
            </w:r>
            <w:r>
              <w:rPr>
                <w:rFonts w:hint="default" w:ascii="仿宋_GB2312" w:hAnsi="仿宋_GB2312" w:eastAsia="仿宋_GB2312" w:cs="仿宋_GB2312"/>
                <w:color w:val="000000"/>
                <w:sz w:val="20"/>
                <w:szCs w:val="20"/>
                <w:highlight w:val="none"/>
                <w:lang w:val="en-US" w:eastAsia="zh-CN"/>
              </w:rPr>
              <w:t>7</w:t>
            </w:r>
          </w:p>
        </w:tc>
        <w:tc>
          <w:tcPr>
            <w:tcW w:w="4304" w:type="dxa"/>
            <w:gridSpan w:val="4"/>
            <w:tcBorders>
              <w:top w:val="nil"/>
              <w:left w:val="nil"/>
              <w:bottom w:val="single" w:color="auto" w:sz="4" w:space="0"/>
              <w:right w:val="single" w:color="auto" w:sz="4" w:space="0"/>
            </w:tcBorders>
            <w:noWrap w:val="0"/>
            <w:vAlign w:val="center"/>
          </w:tcPr>
          <w:p w14:paraId="01CA7A6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356.2</w:t>
            </w:r>
            <w:r>
              <w:rPr>
                <w:rFonts w:hint="default" w:ascii="仿宋_GB2312" w:hAnsi="仿宋_GB2312" w:eastAsia="仿宋_GB2312" w:cs="仿宋_GB2312"/>
                <w:color w:val="000000"/>
                <w:sz w:val="20"/>
                <w:szCs w:val="20"/>
                <w:highlight w:val="none"/>
                <w:lang w:val="en-US" w:eastAsia="zh-CN"/>
              </w:rPr>
              <w:t>7</w:t>
            </w:r>
          </w:p>
        </w:tc>
      </w:tr>
      <w:tr w14:paraId="457172F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02B78C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09DA3BC8">
            <w:pPr>
              <w:keepNext w:val="0"/>
              <w:keepLines w:val="0"/>
              <w:pageBreakBefore w:val="0"/>
              <w:widowControl w:val="0"/>
              <w:kinsoku/>
              <w:overflowPunct/>
              <w:topLinePunct w:val="0"/>
              <w:autoSpaceDE/>
              <w:autoSpaceDN/>
              <w:bidi w:val="0"/>
              <w:adjustRightInd/>
              <w:snapToGrid/>
              <w:spacing w:line="240" w:lineRule="exact"/>
              <w:ind w:firstLine="800" w:firstLineChars="4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14:paraId="49EFC81A">
            <w:pPr>
              <w:keepNext w:val="0"/>
              <w:keepLines w:val="0"/>
              <w:pageBreakBefore w:val="0"/>
              <w:widowControl w:val="0"/>
              <w:kinsoku/>
              <w:overflowPunct/>
              <w:topLinePunct w:val="0"/>
              <w:autoSpaceDE/>
              <w:autoSpaceDN/>
              <w:bidi w:val="0"/>
              <w:adjustRightInd/>
              <w:snapToGrid/>
              <w:spacing w:line="24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w:t>
            </w:r>
          </w:p>
        </w:tc>
      </w:tr>
      <w:tr w14:paraId="5F3C5F7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BC09CC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78B240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14:paraId="7DDE7EA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783A719A">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007E264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06759103">
            <w:pPr>
              <w:keepNext w:val="0"/>
              <w:keepLines w:val="0"/>
              <w:pageBreakBefore w:val="0"/>
              <w:widowControl w:val="0"/>
              <w:kinsoku/>
              <w:overflowPunct/>
              <w:topLinePunct w:val="0"/>
              <w:autoSpaceDE/>
              <w:autoSpaceDN/>
              <w:bidi w:val="0"/>
              <w:adjustRightInd/>
              <w:snapToGrid/>
              <w:spacing w:line="240" w:lineRule="exact"/>
              <w:ind w:firstLine="1400" w:firstLineChars="7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4304" w:type="dxa"/>
            <w:gridSpan w:val="4"/>
            <w:tcBorders>
              <w:top w:val="nil"/>
              <w:left w:val="nil"/>
              <w:bottom w:val="single" w:color="auto" w:sz="4" w:space="0"/>
              <w:right w:val="single" w:color="auto" w:sz="4" w:space="0"/>
            </w:tcBorders>
            <w:noWrap w:val="0"/>
            <w:vAlign w:val="center"/>
          </w:tcPr>
          <w:p w14:paraId="0081367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63E49C28">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25870C5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3D93250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54217B8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4513102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349098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14:paraId="4D8E6E6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1、完成各类房屋交易备案，提高服务质量，不断优化工作流程，更加便企利民，为企业和群众多办实事；2、按工作</w:t>
            </w:r>
            <w:r>
              <w:rPr>
                <w:rFonts w:hint="eastAsia" w:ascii="仿宋_GB2312" w:hAnsi="仿宋_GB2312" w:eastAsia="仿宋_GB2312" w:cs="仿宋_GB2312"/>
                <w:color w:val="000000"/>
                <w:sz w:val="20"/>
                <w:szCs w:val="20"/>
                <w:highlight w:val="none"/>
                <w:lang w:eastAsia="zh-CN"/>
              </w:rPr>
              <w:t>需要，及时、规范使用资金，确保各项工作正常运转。</w:t>
            </w:r>
          </w:p>
        </w:tc>
        <w:tc>
          <w:tcPr>
            <w:tcW w:w="4304" w:type="dxa"/>
            <w:gridSpan w:val="4"/>
            <w:tcBorders>
              <w:top w:val="single" w:color="auto" w:sz="4" w:space="0"/>
              <w:left w:val="nil"/>
              <w:bottom w:val="single" w:color="auto" w:sz="4" w:space="0"/>
              <w:right w:val="single" w:color="auto" w:sz="4" w:space="0"/>
            </w:tcBorders>
            <w:noWrap w:val="0"/>
            <w:vAlign w:val="center"/>
          </w:tcPr>
          <w:p w14:paraId="1DEF7FE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年度总体目标全部完成</w:t>
            </w:r>
          </w:p>
        </w:tc>
      </w:tr>
      <w:tr w14:paraId="3325E0D4">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69B2580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712EC70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097CFE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47DC6F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054D988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14:paraId="5E5DA04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14:paraId="7A15FFC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14:paraId="24D5198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14:paraId="0843E6C8">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14:paraId="6A96F0B3">
            <w:pPr>
              <w:keepNext w:val="0"/>
              <w:keepLines w:val="0"/>
              <w:pageBreakBefore w:val="0"/>
              <w:widowControl w:val="0"/>
              <w:kinsoku/>
              <w:overflowPunct/>
              <w:topLinePunct w:val="0"/>
              <w:autoSpaceDE/>
              <w:autoSpaceDN/>
              <w:bidi w:val="0"/>
              <w:adjustRightInd/>
              <w:snapToGrid/>
              <w:spacing w:line="240" w:lineRule="exac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14:paraId="7CA6041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5ECCED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14:paraId="71080347">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334D2B7">
        <w:tblPrEx>
          <w:tblCellMar>
            <w:top w:w="0" w:type="dxa"/>
            <w:left w:w="108" w:type="dxa"/>
            <w:bottom w:w="0" w:type="dxa"/>
            <w:right w:w="108" w:type="dxa"/>
          </w:tblCellMar>
        </w:tblPrEx>
        <w:trPr>
          <w:trHeight w:val="28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485C75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4FDD3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3D53CB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p w14:paraId="44840DC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19417FE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75C88F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完成商品房合同备案数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4AFA6B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5000份</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267850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5659份</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C8B5BB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81605F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DF812E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D454D5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right w:val="single" w:color="auto" w:sz="4" w:space="0"/>
            </w:tcBorders>
            <w:noWrap w:val="0"/>
            <w:vAlign w:val="center"/>
          </w:tcPr>
          <w:p w14:paraId="741AEE0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60DF4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9E4266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nil"/>
              <w:bottom w:val="single" w:color="auto" w:sz="4" w:space="0"/>
              <w:right w:val="single" w:color="auto" w:sz="4" w:space="0"/>
            </w:tcBorders>
            <w:noWrap w:val="0"/>
            <w:vAlign w:val="center"/>
          </w:tcPr>
          <w:p w14:paraId="7242700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完成房屋网签查询数</w:t>
            </w:r>
          </w:p>
        </w:tc>
        <w:tc>
          <w:tcPr>
            <w:tcW w:w="1311" w:type="dxa"/>
            <w:tcBorders>
              <w:top w:val="single" w:color="auto" w:sz="4" w:space="0"/>
              <w:left w:val="nil"/>
              <w:bottom w:val="single" w:color="auto" w:sz="4" w:space="0"/>
              <w:right w:val="single" w:color="auto" w:sz="4" w:space="0"/>
            </w:tcBorders>
            <w:noWrap w:val="0"/>
            <w:vAlign w:val="center"/>
          </w:tcPr>
          <w:p w14:paraId="3889408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5000套</w:t>
            </w:r>
          </w:p>
        </w:tc>
        <w:tc>
          <w:tcPr>
            <w:tcW w:w="1269" w:type="dxa"/>
            <w:tcBorders>
              <w:top w:val="single" w:color="auto" w:sz="4" w:space="0"/>
              <w:left w:val="nil"/>
              <w:bottom w:val="single" w:color="auto" w:sz="4" w:space="0"/>
              <w:right w:val="single" w:color="auto" w:sz="4" w:space="0"/>
            </w:tcBorders>
            <w:noWrap w:val="0"/>
            <w:vAlign w:val="center"/>
          </w:tcPr>
          <w:p w14:paraId="2835FD2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9745套</w:t>
            </w:r>
          </w:p>
        </w:tc>
        <w:tc>
          <w:tcPr>
            <w:tcW w:w="716" w:type="dxa"/>
            <w:tcBorders>
              <w:top w:val="single" w:color="auto" w:sz="4" w:space="0"/>
              <w:left w:val="nil"/>
              <w:bottom w:val="single" w:color="auto" w:sz="4" w:space="0"/>
              <w:right w:val="single" w:color="auto" w:sz="4" w:space="0"/>
            </w:tcBorders>
            <w:noWrap w:val="0"/>
            <w:vAlign w:val="center"/>
          </w:tcPr>
          <w:p w14:paraId="316E46A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14:paraId="2AC3CF7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noWrap w:val="0"/>
            <w:vAlign w:val="center"/>
          </w:tcPr>
          <w:p w14:paraId="4501821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B31706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FE7848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460C1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1FFD60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A3FFAC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完成房屋交易内部限制及解除内部限制业务笔数</w:t>
            </w:r>
          </w:p>
        </w:tc>
        <w:tc>
          <w:tcPr>
            <w:tcW w:w="1311" w:type="dxa"/>
            <w:tcBorders>
              <w:top w:val="nil"/>
              <w:left w:val="nil"/>
              <w:bottom w:val="single" w:color="auto" w:sz="4" w:space="0"/>
              <w:right w:val="single" w:color="auto" w:sz="4" w:space="0"/>
            </w:tcBorders>
            <w:noWrap w:val="0"/>
            <w:vAlign w:val="center"/>
          </w:tcPr>
          <w:p w14:paraId="0CDB7A4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100笔</w:t>
            </w:r>
          </w:p>
        </w:tc>
        <w:tc>
          <w:tcPr>
            <w:tcW w:w="1269" w:type="dxa"/>
            <w:tcBorders>
              <w:top w:val="nil"/>
              <w:left w:val="nil"/>
              <w:bottom w:val="single" w:color="auto" w:sz="4" w:space="0"/>
              <w:right w:val="single" w:color="auto" w:sz="4" w:space="0"/>
            </w:tcBorders>
            <w:noWrap w:val="0"/>
            <w:vAlign w:val="center"/>
          </w:tcPr>
          <w:p w14:paraId="1629DE3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134笔</w:t>
            </w:r>
          </w:p>
        </w:tc>
        <w:tc>
          <w:tcPr>
            <w:tcW w:w="716" w:type="dxa"/>
            <w:tcBorders>
              <w:top w:val="nil"/>
              <w:left w:val="nil"/>
              <w:bottom w:val="single" w:color="auto" w:sz="4" w:space="0"/>
              <w:right w:val="single" w:color="auto" w:sz="4" w:space="0"/>
            </w:tcBorders>
            <w:noWrap w:val="0"/>
            <w:vAlign w:val="center"/>
          </w:tcPr>
          <w:p w14:paraId="08DD7DE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7885FAE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14:paraId="7C6BFFD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06FFD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ECA3C6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4F3B2E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35ABDC1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14:paraId="3E23375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完成房屋网签查询办结率</w:t>
            </w:r>
          </w:p>
        </w:tc>
        <w:tc>
          <w:tcPr>
            <w:tcW w:w="1311" w:type="dxa"/>
            <w:tcBorders>
              <w:top w:val="nil"/>
              <w:left w:val="nil"/>
              <w:bottom w:val="single" w:color="auto" w:sz="4" w:space="0"/>
              <w:right w:val="single" w:color="auto" w:sz="4" w:space="0"/>
            </w:tcBorders>
            <w:noWrap w:val="0"/>
            <w:vAlign w:val="center"/>
          </w:tcPr>
          <w:p w14:paraId="3754930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269" w:type="dxa"/>
            <w:tcBorders>
              <w:top w:val="nil"/>
              <w:left w:val="nil"/>
              <w:bottom w:val="single" w:color="auto" w:sz="4" w:space="0"/>
              <w:right w:val="single" w:color="auto" w:sz="4" w:space="0"/>
            </w:tcBorders>
            <w:noWrap w:val="0"/>
            <w:vAlign w:val="center"/>
          </w:tcPr>
          <w:p w14:paraId="6D46FC0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16" w:type="dxa"/>
            <w:tcBorders>
              <w:top w:val="nil"/>
              <w:left w:val="nil"/>
              <w:bottom w:val="single" w:color="auto" w:sz="4" w:space="0"/>
              <w:right w:val="single" w:color="auto" w:sz="4" w:space="0"/>
            </w:tcBorders>
            <w:noWrap w:val="0"/>
            <w:vAlign w:val="center"/>
          </w:tcPr>
          <w:p w14:paraId="5B9EFE9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888074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346A34A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FD5B18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51805A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DC6F4A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7B1FC1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6064FA5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商品房买卖合同备案办结率</w:t>
            </w:r>
          </w:p>
        </w:tc>
        <w:tc>
          <w:tcPr>
            <w:tcW w:w="1311" w:type="dxa"/>
            <w:tcBorders>
              <w:top w:val="nil"/>
              <w:left w:val="nil"/>
              <w:bottom w:val="single" w:color="auto" w:sz="4" w:space="0"/>
              <w:right w:val="single" w:color="auto" w:sz="4" w:space="0"/>
            </w:tcBorders>
            <w:noWrap w:val="0"/>
            <w:vAlign w:val="center"/>
          </w:tcPr>
          <w:p w14:paraId="1160312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269" w:type="dxa"/>
            <w:tcBorders>
              <w:top w:val="nil"/>
              <w:left w:val="nil"/>
              <w:bottom w:val="single" w:color="auto" w:sz="4" w:space="0"/>
              <w:right w:val="single" w:color="auto" w:sz="4" w:space="0"/>
            </w:tcBorders>
            <w:noWrap w:val="0"/>
            <w:vAlign w:val="center"/>
          </w:tcPr>
          <w:p w14:paraId="6B69B1E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16" w:type="dxa"/>
            <w:tcBorders>
              <w:top w:val="nil"/>
              <w:left w:val="nil"/>
              <w:bottom w:val="single" w:color="auto" w:sz="4" w:space="0"/>
              <w:right w:val="single" w:color="auto" w:sz="4" w:space="0"/>
            </w:tcBorders>
            <w:noWrap w:val="0"/>
            <w:vAlign w:val="center"/>
          </w:tcPr>
          <w:p w14:paraId="3DD0C62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4F73B3F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465839C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4ED28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50B645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5163A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3F1B5D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14:paraId="645ABEE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人员工资福利和津补贴发放</w:t>
            </w:r>
          </w:p>
        </w:tc>
        <w:tc>
          <w:tcPr>
            <w:tcW w:w="1311" w:type="dxa"/>
            <w:tcBorders>
              <w:top w:val="nil"/>
              <w:left w:val="nil"/>
              <w:bottom w:val="single" w:color="auto" w:sz="4" w:space="0"/>
              <w:right w:val="single" w:color="auto" w:sz="4" w:space="0"/>
            </w:tcBorders>
            <w:noWrap w:val="0"/>
            <w:vAlign w:val="center"/>
          </w:tcPr>
          <w:p w14:paraId="3BE9880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10个工作日</w:t>
            </w:r>
          </w:p>
        </w:tc>
        <w:tc>
          <w:tcPr>
            <w:tcW w:w="1269" w:type="dxa"/>
            <w:tcBorders>
              <w:top w:val="nil"/>
              <w:left w:val="nil"/>
              <w:bottom w:val="single" w:color="auto" w:sz="4" w:space="0"/>
              <w:right w:val="single" w:color="auto" w:sz="4" w:space="0"/>
            </w:tcBorders>
            <w:noWrap w:val="0"/>
            <w:vAlign w:val="center"/>
          </w:tcPr>
          <w:p w14:paraId="5463F1D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10个工作日内</w:t>
            </w:r>
          </w:p>
        </w:tc>
        <w:tc>
          <w:tcPr>
            <w:tcW w:w="716" w:type="dxa"/>
            <w:tcBorders>
              <w:top w:val="nil"/>
              <w:left w:val="nil"/>
              <w:bottom w:val="single" w:color="auto" w:sz="4" w:space="0"/>
              <w:right w:val="single" w:color="auto" w:sz="4" w:space="0"/>
            </w:tcBorders>
            <w:noWrap w:val="0"/>
            <w:vAlign w:val="center"/>
          </w:tcPr>
          <w:p w14:paraId="3D866B9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CB446D7">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lang w:val="en-US" w:eastAsia="zh-CN"/>
              </w:rPr>
            </w:pPr>
          </w:p>
          <w:p w14:paraId="55098D0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p w14:paraId="09E1839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p>
        </w:tc>
        <w:tc>
          <w:tcPr>
            <w:tcW w:w="1446" w:type="dxa"/>
            <w:tcBorders>
              <w:top w:val="nil"/>
              <w:left w:val="nil"/>
              <w:bottom w:val="single" w:color="auto" w:sz="4" w:space="0"/>
              <w:right w:val="single" w:color="auto" w:sz="4" w:space="0"/>
            </w:tcBorders>
            <w:noWrap w:val="0"/>
            <w:vAlign w:val="center"/>
          </w:tcPr>
          <w:p w14:paraId="2E20CFA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313C11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B2AD7B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79F963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F72B9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14:paraId="6D16205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预算控制数</w:t>
            </w:r>
          </w:p>
        </w:tc>
        <w:tc>
          <w:tcPr>
            <w:tcW w:w="1311" w:type="dxa"/>
            <w:tcBorders>
              <w:top w:val="nil"/>
              <w:left w:val="nil"/>
              <w:bottom w:val="single" w:color="auto" w:sz="4" w:space="0"/>
              <w:right w:val="single" w:color="auto" w:sz="4" w:space="0"/>
            </w:tcBorders>
            <w:noWrap w:val="0"/>
            <w:vAlign w:val="center"/>
          </w:tcPr>
          <w:p w14:paraId="46F7CA8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财政预算资金内</w:t>
            </w: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1774BAD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财政预算资金内</w:t>
            </w: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781F8A8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86F51E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5C66668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B595B0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744F6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256868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EF508D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p w14:paraId="6AEDF0C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6B5194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569259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25ED76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310C0B2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不适用</w:t>
            </w:r>
          </w:p>
        </w:tc>
        <w:tc>
          <w:tcPr>
            <w:tcW w:w="1311" w:type="dxa"/>
            <w:tcBorders>
              <w:top w:val="nil"/>
              <w:left w:val="nil"/>
              <w:bottom w:val="single" w:color="auto" w:sz="4" w:space="0"/>
              <w:right w:val="single" w:color="auto" w:sz="4" w:space="0"/>
            </w:tcBorders>
            <w:noWrap w:val="0"/>
            <w:vAlign w:val="center"/>
          </w:tcPr>
          <w:p w14:paraId="5C12897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不适用</w:t>
            </w:r>
          </w:p>
        </w:tc>
        <w:tc>
          <w:tcPr>
            <w:tcW w:w="1269" w:type="dxa"/>
            <w:tcBorders>
              <w:top w:val="nil"/>
              <w:left w:val="nil"/>
              <w:bottom w:val="single" w:color="auto" w:sz="4" w:space="0"/>
              <w:right w:val="single" w:color="auto" w:sz="4" w:space="0"/>
            </w:tcBorders>
            <w:noWrap w:val="0"/>
            <w:vAlign w:val="center"/>
          </w:tcPr>
          <w:p w14:paraId="4BD131D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不适用</w:t>
            </w:r>
          </w:p>
        </w:tc>
        <w:tc>
          <w:tcPr>
            <w:tcW w:w="716" w:type="dxa"/>
            <w:tcBorders>
              <w:top w:val="nil"/>
              <w:left w:val="nil"/>
              <w:bottom w:val="single" w:color="auto" w:sz="4" w:space="0"/>
              <w:right w:val="single" w:color="auto" w:sz="4" w:space="0"/>
            </w:tcBorders>
            <w:noWrap w:val="0"/>
            <w:vAlign w:val="center"/>
          </w:tcPr>
          <w:p w14:paraId="6179514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873" w:type="dxa"/>
            <w:tcBorders>
              <w:top w:val="nil"/>
              <w:left w:val="nil"/>
              <w:bottom w:val="single" w:color="auto" w:sz="4" w:space="0"/>
              <w:right w:val="single" w:color="auto" w:sz="4" w:space="0"/>
            </w:tcBorders>
            <w:noWrap w:val="0"/>
            <w:vAlign w:val="center"/>
          </w:tcPr>
          <w:p w14:paraId="35B3A9A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1446" w:type="dxa"/>
            <w:tcBorders>
              <w:top w:val="nil"/>
              <w:left w:val="nil"/>
              <w:bottom w:val="single" w:color="auto" w:sz="4" w:space="0"/>
              <w:right w:val="single" w:color="auto" w:sz="4" w:space="0"/>
            </w:tcBorders>
            <w:noWrap w:val="0"/>
            <w:vAlign w:val="center"/>
          </w:tcPr>
          <w:p w14:paraId="710A9F5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6D3010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C4D052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5D261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6AEFA4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CB2A34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2DD2C74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房地产交易风险降低</w:t>
            </w:r>
          </w:p>
        </w:tc>
        <w:tc>
          <w:tcPr>
            <w:tcW w:w="1311" w:type="dxa"/>
            <w:tcBorders>
              <w:top w:val="nil"/>
              <w:left w:val="nil"/>
              <w:bottom w:val="single" w:color="auto" w:sz="4" w:space="0"/>
              <w:right w:val="single" w:color="auto" w:sz="4" w:space="0"/>
            </w:tcBorders>
            <w:noWrap w:val="0"/>
            <w:vAlign w:val="center"/>
          </w:tcPr>
          <w:p w14:paraId="39E3A7A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有所降低</w:t>
            </w:r>
          </w:p>
        </w:tc>
        <w:tc>
          <w:tcPr>
            <w:tcW w:w="1269" w:type="dxa"/>
            <w:tcBorders>
              <w:top w:val="nil"/>
              <w:left w:val="nil"/>
              <w:bottom w:val="single" w:color="auto" w:sz="4" w:space="0"/>
              <w:right w:val="single" w:color="auto" w:sz="4" w:space="0"/>
            </w:tcBorders>
            <w:noWrap w:val="0"/>
            <w:vAlign w:val="center"/>
          </w:tcPr>
          <w:p w14:paraId="40229A1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交易风险有所降低</w:t>
            </w:r>
          </w:p>
        </w:tc>
        <w:tc>
          <w:tcPr>
            <w:tcW w:w="716" w:type="dxa"/>
            <w:tcBorders>
              <w:top w:val="nil"/>
              <w:left w:val="nil"/>
              <w:bottom w:val="single" w:color="auto" w:sz="4" w:space="0"/>
              <w:right w:val="single" w:color="auto" w:sz="4" w:space="0"/>
            </w:tcBorders>
            <w:noWrap w:val="0"/>
            <w:vAlign w:val="center"/>
          </w:tcPr>
          <w:p w14:paraId="14FEAC4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34A0777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w:t>
            </w:r>
          </w:p>
        </w:tc>
        <w:tc>
          <w:tcPr>
            <w:tcW w:w="1446" w:type="dxa"/>
            <w:tcBorders>
              <w:top w:val="nil"/>
              <w:left w:val="nil"/>
              <w:bottom w:val="single" w:color="auto" w:sz="4" w:space="0"/>
              <w:right w:val="single" w:color="auto" w:sz="4" w:space="0"/>
            </w:tcBorders>
            <w:noWrap w:val="0"/>
            <w:vAlign w:val="center"/>
          </w:tcPr>
          <w:p w14:paraId="363C4A6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E9202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3DBD90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FDC6E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5D02BE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0933020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3FA0C43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不适用</w:t>
            </w:r>
          </w:p>
        </w:tc>
        <w:tc>
          <w:tcPr>
            <w:tcW w:w="1311" w:type="dxa"/>
            <w:tcBorders>
              <w:top w:val="nil"/>
              <w:left w:val="nil"/>
              <w:bottom w:val="single" w:color="auto" w:sz="4" w:space="0"/>
              <w:right w:val="single" w:color="auto" w:sz="4" w:space="0"/>
            </w:tcBorders>
            <w:noWrap w:val="0"/>
            <w:vAlign w:val="center"/>
          </w:tcPr>
          <w:p w14:paraId="6C0E012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不适用</w:t>
            </w:r>
          </w:p>
        </w:tc>
        <w:tc>
          <w:tcPr>
            <w:tcW w:w="1269" w:type="dxa"/>
            <w:tcBorders>
              <w:top w:val="nil"/>
              <w:left w:val="nil"/>
              <w:bottom w:val="single" w:color="auto" w:sz="4" w:space="0"/>
              <w:right w:val="single" w:color="auto" w:sz="4" w:space="0"/>
            </w:tcBorders>
            <w:noWrap w:val="0"/>
            <w:vAlign w:val="center"/>
          </w:tcPr>
          <w:p w14:paraId="56F4E1C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不适用</w:t>
            </w:r>
          </w:p>
        </w:tc>
        <w:tc>
          <w:tcPr>
            <w:tcW w:w="716" w:type="dxa"/>
            <w:tcBorders>
              <w:top w:val="nil"/>
              <w:left w:val="nil"/>
              <w:bottom w:val="single" w:color="auto" w:sz="4" w:space="0"/>
              <w:right w:val="single" w:color="auto" w:sz="4" w:space="0"/>
            </w:tcBorders>
            <w:noWrap w:val="0"/>
            <w:vAlign w:val="center"/>
          </w:tcPr>
          <w:p w14:paraId="1B1CEB9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873" w:type="dxa"/>
            <w:tcBorders>
              <w:top w:val="nil"/>
              <w:left w:val="nil"/>
              <w:bottom w:val="single" w:color="auto" w:sz="4" w:space="0"/>
              <w:right w:val="single" w:color="auto" w:sz="4" w:space="0"/>
            </w:tcBorders>
            <w:noWrap w:val="0"/>
            <w:vAlign w:val="center"/>
          </w:tcPr>
          <w:p w14:paraId="37262E0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1446" w:type="dxa"/>
            <w:tcBorders>
              <w:top w:val="nil"/>
              <w:left w:val="nil"/>
              <w:bottom w:val="single" w:color="auto" w:sz="4" w:space="0"/>
              <w:right w:val="single" w:color="auto" w:sz="4" w:space="0"/>
            </w:tcBorders>
            <w:noWrap w:val="0"/>
            <w:vAlign w:val="center"/>
          </w:tcPr>
          <w:p w14:paraId="0BBE794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0521363">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14:paraId="73697EE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2CB15E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DAA451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E0831C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促进房地产市场平稳健康发展</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67AB53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房地产市场平稳健康发展</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6F4909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房地产市场平稳健康发展</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5FE0E5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3E6E85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0C5193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43BC219">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14:paraId="152E027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14:paraId="08734E5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E1C810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0DB35FF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nil"/>
              <w:bottom w:val="single" w:color="auto" w:sz="4" w:space="0"/>
              <w:right w:val="single" w:color="auto" w:sz="4" w:space="0"/>
            </w:tcBorders>
            <w:noWrap w:val="0"/>
            <w:vAlign w:val="center"/>
          </w:tcPr>
          <w:p w14:paraId="3C87226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14:paraId="1CC50AF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群众满意度</w:t>
            </w:r>
          </w:p>
        </w:tc>
        <w:tc>
          <w:tcPr>
            <w:tcW w:w="1311" w:type="dxa"/>
            <w:tcBorders>
              <w:top w:val="nil"/>
              <w:left w:val="nil"/>
              <w:bottom w:val="single" w:color="auto" w:sz="4" w:space="0"/>
              <w:right w:val="single" w:color="auto" w:sz="4" w:space="0"/>
            </w:tcBorders>
            <w:noWrap w:val="0"/>
            <w:vAlign w:val="center"/>
          </w:tcPr>
          <w:p w14:paraId="44F7E79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269" w:type="dxa"/>
            <w:tcBorders>
              <w:top w:val="nil"/>
              <w:left w:val="nil"/>
              <w:bottom w:val="single" w:color="auto" w:sz="4" w:space="0"/>
              <w:right w:val="single" w:color="auto" w:sz="4" w:space="0"/>
            </w:tcBorders>
            <w:noWrap w:val="0"/>
            <w:vAlign w:val="center"/>
          </w:tcPr>
          <w:p w14:paraId="2D7156B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16" w:type="dxa"/>
            <w:tcBorders>
              <w:top w:val="nil"/>
              <w:left w:val="nil"/>
              <w:bottom w:val="single" w:color="auto" w:sz="4" w:space="0"/>
              <w:right w:val="single" w:color="auto" w:sz="4" w:space="0"/>
            </w:tcBorders>
            <w:noWrap w:val="0"/>
            <w:vAlign w:val="center"/>
          </w:tcPr>
          <w:p w14:paraId="73CAB46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ABC30B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4E0E6EF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2E9C281">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354EE6A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14:paraId="1195F2D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0F6D44A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99.72</w:t>
            </w:r>
          </w:p>
        </w:tc>
        <w:tc>
          <w:tcPr>
            <w:tcW w:w="1446" w:type="dxa"/>
            <w:tcBorders>
              <w:top w:val="nil"/>
              <w:left w:val="nil"/>
              <w:bottom w:val="single" w:color="auto" w:sz="4" w:space="0"/>
              <w:right w:val="single" w:color="auto" w:sz="4" w:space="0"/>
            </w:tcBorders>
            <w:noWrap w:val="0"/>
            <w:vAlign w:val="center"/>
          </w:tcPr>
          <w:p w14:paraId="4461A87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3A58E08">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14:paraId="35476605">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89142B-DE3E-4D9D-BAD3-C46BF5151C2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A3D746A-C382-491A-AF35-58E9A8F9BB3D}"/>
  </w:font>
  <w:font w:name="方正小标宋简体">
    <w:panose1 w:val="02000000000000000000"/>
    <w:charset w:val="86"/>
    <w:family w:val="auto"/>
    <w:pitch w:val="default"/>
    <w:sig w:usb0="00000001" w:usb1="08000000" w:usb2="00000000" w:usb3="00000000" w:csb0="00040000" w:csb1="00000000"/>
    <w:embedRegular r:id="rId3" w:fontKey="{96DB46D0-587C-47AC-B9D7-49E301464668}"/>
  </w:font>
  <w:font w:name="仿宋_GB2312">
    <w:altName w:val="仿宋"/>
    <w:panose1 w:val="02010609030101010101"/>
    <w:charset w:val="00"/>
    <w:family w:val="modern"/>
    <w:pitch w:val="default"/>
    <w:sig w:usb0="00000000" w:usb1="00000000" w:usb2="00000000" w:usb3="00000000" w:csb0="00040000" w:csb1="00000000"/>
    <w:embedRegular r:id="rId4" w:fontKey="{4CD48DA6-3F57-43EA-B376-6B5EB07F6F88}"/>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40001" w:csb1="00000000"/>
    <w:embedRegular r:id="rId5" w:fontKey="{AE4BF5F8-7C60-471A-A9CF-FC37B8FA6C6C}"/>
  </w:font>
  <w:font w:name="楷体_GB2312">
    <w:altName w:val="楷体"/>
    <w:panose1 w:val="02010609030101010101"/>
    <w:charset w:val="00"/>
    <w:family w:val="modern"/>
    <w:pitch w:val="default"/>
    <w:sig w:usb0="00000000" w:usb1="00000000" w:usb2="00000000" w:usb3="00000000" w:csb0="00040000" w:csb1="00000000"/>
    <w:embedRegular r:id="rId6" w:fontKey="{78EEF312-66BD-4F57-A41F-89E466AD7387}"/>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316F2C"/>
    <w:multiLevelType w:val="singleLevel"/>
    <w:tmpl w:val="DF316F2C"/>
    <w:lvl w:ilvl="0" w:tentative="0">
      <w:start w:val="2"/>
      <w:numFmt w:val="chineseCounting"/>
      <w:suff w:val="nothing"/>
      <w:lvlText w:val="（%1）"/>
      <w:lvlJc w:val="left"/>
      <w:rPr>
        <w:rFonts w:hint="eastAsia"/>
      </w:rPr>
    </w:lvl>
  </w:abstractNum>
  <w:abstractNum w:abstractNumId="1">
    <w:nsid w:val="F7DEF554"/>
    <w:multiLevelType w:val="singleLevel"/>
    <w:tmpl w:val="F7DEF554"/>
    <w:lvl w:ilvl="0" w:tentative="0">
      <w:start w:val="8"/>
      <w:numFmt w:val="chineseCounting"/>
      <w:suff w:val="nothing"/>
      <w:lvlText w:val="%1、"/>
      <w:lvlJc w:val="left"/>
      <w:rPr>
        <w:rFonts w:hint="eastAsia"/>
      </w:rPr>
    </w:lvl>
  </w:abstractNum>
  <w:abstractNum w:abstractNumId="2">
    <w:nsid w:val="FBBFAA12"/>
    <w:multiLevelType w:val="singleLevel"/>
    <w:tmpl w:val="FBBFAA12"/>
    <w:lvl w:ilvl="0" w:tentative="0">
      <w:start w:val="1"/>
      <w:numFmt w:val="chineseCounting"/>
      <w:suff w:val="nothing"/>
      <w:lvlText w:val="%1、"/>
      <w:lvlJc w:val="left"/>
      <w:rPr>
        <w:rFonts w:hint="eastAsia"/>
      </w:rPr>
    </w:lvl>
  </w:abstractNum>
  <w:abstractNum w:abstractNumId="3">
    <w:nsid w:val="FFE896A2"/>
    <w:multiLevelType w:val="singleLevel"/>
    <w:tmpl w:val="FFE896A2"/>
    <w:lvl w:ilvl="0" w:tentative="0">
      <w:start w:val="4"/>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C07196"/>
    <w:rsid w:val="0394658D"/>
    <w:rsid w:val="040A4AA1"/>
    <w:rsid w:val="132A4818"/>
    <w:rsid w:val="14781A17"/>
    <w:rsid w:val="158405ED"/>
    <w:rsid w:val="1A255D39"/>
    <w:rsid w:val="28AD39B9"/>
    <w:rsid w:val="2DA707F1"/>
    <w:rsid w:val="33FC015A"/>
    <w:rsid w:val="397B107A"/>
    <w:rsid w:val="3C5F6A31"/>
    <w:rsid w:val="423D5D92"/>
    <w:rsid w:val="509D67D0"/>
    <w:rsid w:val="54C07196"/>
    <w:rsid w:val="55915A56"/>
    <w:rsid w:val="5754030E"/>
    <w:rsid w:val="5EAA7B88"/>
    <w:rsid w:val="649C5F21"/>
    <w:rsid w:val="6DFB5D0A"/>
    <w:rsid w:val="73DE2D77"/>
    <w:rsid w:val="7BBC5025"/>
    <w:rsid w:val="7D0A5F6A"/>
    <w:rsid w:val="7E575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next w:val="1"/>
    <w:unhideWhenUsed/>
    <w:qFormat/>
    <w:uiPriority w:val="99"/>
    <w:pPr>
      <w:spacing w:after="120" w:line="480" w:lineRule="auto"/>
      <w:ind w:left="200" w:leftChars="200"/>
    </w:pPr>
    <w:rPr>
      <w:rFonts w:ascii="Times New Roman" w:hAnsi="Times New Roman" w:eastAsia="宋体" w:cs="Times New Roman"/>
    </w:rPr>
  </w:style>
  <w:style w:type="paragraph" w:styleId="5">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821</Words>
  <Characters>952</Characters>
  <Lines>0</Lines>
  <Paragraphs>0</Paragraphs>
  <TotalTime>0</TotalTime>
  <ScaleCrop>false</ScaleCrop>
  <LinksUpToDate>false</LinksUpToDate>
  <CharactersWithSpaces>1060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2025-12-18T17:39:00Z</dcterms:created>
  <dc:creator>周骏</dc:creator>
  <cp:lastModifiedBy>得失荣枯</cp:lastModifiedBy>
  <dcterms:modified xsi:type="dcterms:W3CDTF">2026-07-08T02:30:30Z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8F3E85D72D0B455B87A3227D9EEE59CE_13</vt:lpwstr>
  </property>
  <property fmtid="{D5CDD505-2E9C-101B-9397-08002B2CF9AE}" pid="4" name="KSOTemplateDocerSaveRecord">
    <vt:lpwstr>eyJoZGlkIjoiNDllNjg1N2ZkNWIxNDgwMWIyN2M4YjE0YzI0OTVmZjUiLCJ1c2VySWQiOiIzNDA4MzEyMDAifQ==</vt:lpwstr>
  </property>
</Properties>
</file>