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方正小标宋_GBK" w:cs="Times New Roman"/>
          <w:sz w:val="52"/>
          <w:szCs w:val="52"/>
          <w:highlight w:val="none"/>
        </w:rPr>
      </w:pPr>
    </w:p>
    <w:p>
      <w:pPr>
        <w:pStyle w:val="2"/>
        <w:rPr>
          <w:rFonts w:hint="default"/>
        </w:rPr>
      </w:pPr>
    </w:p>
    <w:p>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岳阳市住房和城乡建设局</w:t>
      </w:r>
    </w:p>
    <w:p>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部门整体支出绩效自评报告</w:t>
      </w: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方正小标宋_GBK" w:cs="Times New Roman"/>
          <w:b/>
          <w:sz w:val="52"/>
          <w:szCs w:val="5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楷体_GB2312" w:cs="Times New Roman"/>
          <w:b/>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jc w:val="both"/>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pPr>
        <w:spacing w:line="600" w:lineRule="exact"/>
        <w:jc w:val="center"/>
        <w:rPr>
          <w:rFonts w:hint="default" w:ascii="Times New Roman" w:hAnsi="Times New Roman" w:eastAsia="楷体_GB2312" w:cs="Times New Roman"/>
          <w:sz w:val="32"/>
          <w:szCs w:val="32"/>
          <w:highlight w:val="none"/>
        </w:rPr>
      </w:pPr>
      <w:r>
        <w:rPr>
          <w:rFonts w:hint="eastAsia" w:eastAsia="楷体_GB2312" w:cs="Times New Roman"/>
          <w:sz w:val="32"/>
          <w:szCs w:val="32"/>
          <w:highlight w:val="none"/>
          <w:lang w:val="en-US" w:eastAsia="zh-CN"/>
        </w:rPr>
        <w:t>2026</w:t>
      </w:r>
      <w:r>
        <w:rPr>
          <w:rFonts w:hint="default" w:ascii="Times New Roman" w:hAnsi="Times New Roman" w:eastAsia="楷体_GB2312" w:cs="Times New Roman"/>
          <w:sz w:val="32"/>
          <w:szCs w:val="32"/>
          <w:highlight w:val="none"/>
        </w:rPr>
        <w:t>年</w:t>
      </w:r>
      <w:r>
        <w:rPr>
          <w:rFonts w:hint="eastAsia" w:ascii="Times New Roman" w:hAnsi="Times New Roman" w:eastAsia="楷体_GB2312" w:cs="Times New Roman"/>
          <w:sz w:val="32"/>
          <w:szCs w:val="32"/>
          <w:highlight w:val="none"/>
          <w:lang w:val="en-US" w:eastAsia="zh-CN"/>
        </w:rPr>
        <w:t>6</w:t>
      </w:r>
      <w:r>
        <w:rPr>
          <w:rFonts w:hint="default" w:ascii="Times New Roman" w:hAnsi="Times New Roman" w:eastAsia="楷体_GB2312" w:cs="Times New Roman"/>
          <w:sz w:val="32"/>
          <w:szCs w:val="32"/>
          <w:highlight w:val="none"/>
        </w:rPr>
        <w:t>月</w:t>
      </w:r>
      <w:r>
        <w:rPr>
          <w:rFonts w:hint="eastAsia" w:eastAsia="楷体_GB2312" w:cs="Times New Roman"/>
          <w:sz w:val="32"/>
          <w:szCs w:val="32"/>
          <w:highlight w:val="none"/>
          <w:lang w:val="en-US" w:eastAsia="zh-CN"/>
        </w:rPr>
        <w:t>30</w:t>
      </w:r>
      <w:r>
        <w:rPr>
          <w:rFonts w:hint="default" w:ascii="Times New Roman" w:hAnsi="Times New Roman" w:eastAsia="楷体_GB2312" w:cs="Times New Roman"/>
          <w:sz w:val="32"/>
          <w:szCs w:val="32"/>
          <w:highlight w:val="none"/>
        </w:rPr>
        <w:t>日</w:t>
      </w:r>
    </w:p>
    <w:p>
      <w:pPr>
        <w:keepNext w:val="0"/>
        <w:keepLines w:val="0"/>
        <w:pageBreakBefore w:val="0"/>
        <w:widowControl w:val="0"/>
        <w:kinsoku/>
        <w:overflowPunct/>
        <w:topLinePunct w:val="0"/>
        <w:autoSpaceDE/>
        <w:autoSpaceDN/>
        <w:bidi w:val="0"/>
        <w:adjustRightInd/>
        <w:snapToGrid/>
        <w:jc w:val="center"/>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岳阳市住房和城乡建设局</w:t>
      </w:r>
    </w:p>
    <w:p>
      <w:pPr>
        <w:keepNext w:val="0"/>
        <w:keepLines w:val="0"/>
        <w:pageBreakBefore w:val="0"/>
        <w:widowControl w:val="0"/>
        <w:kinsoku/>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部门整体支出绩效自评报告</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2"/>
          <w:sz w:val="32"/>
          <w:szCs w:val="32"/>
          <w:lang w:val="en-US" w:eastAsia="zh-CN" w:bidi="ar-SA"/>
        </w:rPr>
        <w:t>一、</w:t>
      </w:r>
      <w:r>
        <w:rPr>
          <w:rFonts w:hint="default" w:ascii="Times New Roman" w:hAnsi="Times New Roman" w:eastAsia="黑体" w:cs="Times New Roman"/>
          <w:sz w:val="32"/>
          <w:szCs w:val="32"/>
          <w:highlight w:val="none"/>
        </w:rPr>
        <w:t>部门基本情况</w:t>
      </w:r>
    </w:p>
    <w:p>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（一）职能职责</w:t>
      </w:r>
    </w:p>
    <w:p>
      <w:pPr>
        <w:keepNext w:val="0"/>
        <w:keepLines w:val="0"/>
        <w:pageBreakBefore w:val="0"/>
        <w:kinsoku/>
        <w:wordWrap/>
        <w:overflowPunct/>
        <w:topLinePunct w:val="0"/>
        <w:autoSpaceDE/>
        <w:autoSpaceDN/>
        <w:bidi w:val="0"/>
        <w:adjustRightInd/>
        <w:snapToGrid/>
        <w:spacing w:before="110" w:line="600" w:lineRule="exact"/>
        <w:ind w:left="9" w:right="24" w:firstLine="648"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lang w:val="en-US" w:eastAsia="zh-CN"/>
        </w:rPr>
        <w:t>1、</w:t>
      </w:r>
      <w:r>
        <w:rPr>
          <w:rFonts w:hint="eastAsia" w:ascii="仿宋_GB2312" w:hAnsi="仿宋_GB2312" w:eastAsia="仿宋_GB2312" w:cs="仿宋_GB2312"/>
          <w:spacing w:val="2"/>
          <w:sz w:val="32"/>
          <w:szCs w:val="32"/>
        </w:rPr>
        <w:t>贯彻落实有关住房和城乡建设的法律</w:t>
      </w:r>
      <w:r>
        <w:rPr>
          <w:rFonts w:hint="eastAsia" w:ascii="仿宋_GB2312" w:hAnsi="仿宋_GB2312" w:eastAsia="仿宋_GB2312" w:cs="仿宋_GB2312"/>
          <w:spacing w:val="1"/>
          <w:sz w:val="32"/>
          <w:szCs w:val="32"/>
        </w:rPr>
        <w:t>法规、规章和</w:t>
      </w:r>
      <w:r>
        <w:rPr>
          <w:rFonts w:hint="eastAsia" w:ascii="仿宋_GB2312" w:hAnsi="仿宋_GB2312" w:eastAsia="仿宋_GB2312" w:cs="仿宋_GB2312"/>
          <w:spacing w:val="-1"/>
          <w:sz w:val="32"/>
          <w:szCs w:val="32"/>
        </w:rPr>
        <w:t>政策;拟订住房和城乡建设行业地方性法规、规章草</w:t>
      </w:r>
      <w:r>
        <w:rPr>
          <w:rFonts w:hint="eastAsia" w:ascii="仿宋_GB2312" w:hAnsi="仿宋_GB2312" w:eastAsia="仿宋_GB2312" w:cs="仿宋_GB2312"/>
          <w:sz w:val="32"/>
          <w:szCs w:val="32"/>
        </w:rPr>
        <w:t>案、规范</w:t>
      </w:r>
      <w:r>
        <w:rPr>
          <w:rFonts w:hint="eastAsia" w:ascii="仿宋_GB2312" w:hAnsi="仿宋_GB2312" w:eastAsia="仿宋_GB2312" w:cs="仿宋_GB2312"/>
          <w:spacing w:val="-1"/>
          <w:sz w:val="32"/>
          <w:szCs w:val="32"/>
        </w:rPr>
        <w:t>性文件;研究拟订住房和城乡建设发展战略、产业政策、改革</w:t>
      </w:r>
      <w:r>
        <w:rPr>
          <w:rFonts w:hint="eastAsia" w:ascii="仿宋_GB2312" w:hAnsi="仿宋_GB2312" w:eastAsia="仿宋_GB2312" w:cs="仿宋_GB2312"/>
          <w:spacing w:val="-2"/>
          <w:sz w:val="32"/>
          <w:szCs w:val="32"/>
        </w:rPr>
        <w:t>方案和中长期规划及年度计划并组织实施;牵头组织推</w:t>
      </w:r>
      <w:r>
        <w:rPr>
          <w:rFonts w:hint="eastAsia" w:ascii="仿宋_GB2312" w:hAnsi="仿宋_GB2312" w:eastAsia="仿宋_GB2312" w:cs="仿宋_GB2312"/>
          <w:spacing w:val="-1"/>
          <w:sz w:val="32"/>
          <w:szCs w:val="32"/>
        </w:rPr>
        <w:t>进</w:t>
      </w:r>
      <w:r>
        <w:rPr>
          <w:rFonts w:hint="eastAsia" w:ascii="仿宋_GB2312" w:hAnsi="仿宋_GB2312" w:eastAsia="仿宋_GB2312" w:cs="仿宋_GB2312"/>
          <w:sz w:val="32"/>
          <w:szCs w:val="32"/>
        </w:rPr>
        <w:t>城市</w:t>
      </w:r>
      <w:r>
        <w:rPr>
          <w:rFonts w:hint="eastAsia" w:ascii="仿宋_GB2312" w:hAnsi="仿宋_GB2312" w:eastAsia="仿宋_GB2312" w:cs="仿宋_GB2312"/>
          <w:spacing w:val="-1"/>
          <w:sz w:val="32"/>
          <w:szCs w:val="32"/>
        </w:rPr>
        <w:t>智慧化建设和新型城市化发展战略;组织推进行业</w:t>
      </w:r>
      <w:r>
        <w:rPr>
          <w:rFonts w:hint="eastAsia" w:ascii="仿宋_GB2312" w:hAnsi="仿宋_GB2312" w:eastAsia="仿宋_GB2312" w:cs="仿宋_GB2312"/>
          <w:sz w:val="32"/>
          <w:szCs w:val="32"/>
        </w:rPr>
        <w:t>诚信体系建</w:t>
      </w:r>
      <w:r>
        <w:rPr>
          <w:rFonts w:hint="eastAsia" w:ascii="仿宋_GB2312" w:hAnsi="仿宋_GB2312" w:eastAsia="仿宋_GB2312" w:cs="仿宋_GB2312"/>
          <w:spacing w:val="10"/>
          <w:sz w:val="32"/>
          <w:szCs w:val="32"/>
        </w:rPr>
        <w:t>设</w:t>
      </w:r>
      <w:r>
        <w:rPr>
          <w:rFonts w:hint="eastAsia" w:ascii="仿宋_GB2312" w:hAnsi="仿宋_GB2312" w:eastAsia="仿宋_GB2312" w:cs="仿宋_GB2312"/>
          <w:spacing w:val="6"/>
          <w:sz w:val="32"/>
          <w:szCs w:val="32"/>
        </w:rPr>
        <w:t>和</w:t>
      </w:r>
      <w:r>
        <w:rPr>
          <w:rFonts w:hint="eastAsia" w:ascii="仿宋_GB2312" w:hAnsi="仿宋_GB2312" w:eastAsia="仿宋_GB2312" w:cs="仿宋_GB2312"/>
          <w:spacing w:val="5"/>
          <w:sz w:val="32"/>
          <w:szCs w:val="32"/>
        </w:rPr>
        <w:t>管理;负责市本级住房和城乡建设行政执法工作;负责监</w:t>
      </w:r>
      <w:r>
        <w:rPr>
          <w:rFonts w:hint="eastAsia" w:ascii="仿宋_GB2312" w:hAnsi="仿宋_GB2312" w:eastAsia="仿宋_GB2312" w:cs="仿宋_GB2312"/>
          <w:spacing w:val="-29"/>
          <w:sz w:val="32"/>
          <w:szCs w:val="32"/>
        </w:rPr>
        <w:t>督</w:t>
      </w:r>
      <w:r>
        <w:rPr>
          <w:rFonts w:hint="eastAsia" w:ascii="仿宋_GB2312" w:hAnsi="仿宋_GB2312" w:eastAsia="仿宋_GB2312" w:cs="仿宋_GB2312"/>
          <w:spacing w:val="-20"/>
          <w:sz w:val="32"/>
          <w:szCs w:val="32"/>
        </w:rPr>
        <w:t>指导各县市区住房和城乡建设行政执法工作;负责编制城市</w:t>
      </w:r>
      <w:r>
        <w:rPr>
          <w:rFonts w:hint="eastAsia" w:ascii="仿宋_GB2312" w:hAnsi="仿宋_GB2312" w:eastAsia="仿宋_GB2312" w:cs="仿宋_GB2312"/>
          <w:spacing w:val="-18"/>
          <w:sz w:val="32"/>
          <w:szCs w:val="32"/>
        </w:rPr>
        <w:t>建</w:t>
      </w:r>
      <w:r>
        <w:rPr>
          <w:rFonts w:hint="eastAsia" w:ascii="仿宋_GB2312" w:hAnsi="仿宋_GB2312" w:eastAsia="仿宋_GB2312" w:cs="仿宋_GB2312"/>
          <w:spacing w:val="-13"/>
          <w:sz w:val="32"/>
          <w:szCs w:val="32"/>
        </w:rPr>
        <w:t>设行业专业规划;负责住房和城乡建设行业综合统计;指导</w:t>
      </w:r>
      <w:r>
        <w:rPr>
          <w:rFonts w:hint="eastAsia" w:ascii="仿宋_GB2312" w:hAnsi="仿宋_GB2312" w:eastAsia="仿宋_GB2312" w:cs="仿宋_GB2312"/>
          <w:spacing w:val="-22"/>
          <w:sz w:val="32"/>
          <w:szCs w:val="32"/>
        </w:rPr>
        <w:t>和协调各县市区住房和城乡建设管理工作</w:t>
      </w:r>
      <w:r>
        <w:rPr>
          <w:rFonts w:hint="eastAsia" w:ascii="仿宋_GB2312" w:hAnsi="仿宋_GB2312" w:eastAsia="仿宋_GB2312" w:cs="仿宋_GB2312"/>
          <w:spacing w:val="-21"/>
          <w:sz w:val="32"/>
          <w:szCs w:val="32"/>
        </w:rPr>
        <w:t>。</w:t>
      </w:r>
    </w:p>
    <w:p>
      <w:pPr>
        <w:keepNext w:val="0"/>
        <w:keepLines w:val="0"/>
        <w:pageBreakBefore w:val="0"/>
        <w:kinsoku/>
        <w:wordWrap/>
        <w:overflowPunct/>
        <w:topLinePunct w:val="0"/>
        <w:autoSpaceDE/>
        <w:autoSpaceDN/>
        <w:bidi w:val="0"/>
        <w:adjustRightInd/>
        <w:snapToGrid/>
        <w:spacing w:line="600" w:lineRule="exact"/>
        <w:ind w:firstLine="628"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3"/>
          <w:sz w:val="32"/>
          <w:szCs w:val="32"/>
          <w:lang w:val="en-US" w:eastAsia="zh-CN"/>
        </w:rPr>
        <w:t>2、</w:t>
      </w:r>
      <w:r>
        <w:rPr>
          <w:rFonts w:hint="eastAsia" w:ascii="仿宋_GB2312" w:hAnsi="仿宋_GB2312" w:eastAsia="仿宋_GB2312" w:cs="仿宋_GB2312"/>
          <w:spacing w:val="-3"/>
          <w:sz w:val="32"/>
          <w:szCs w:val="32"/>
        </w:rPr>
        <w:t>负责全市市政基础(公用)设施建设的行业管理</w:t>
      </w:r>
      <w:r>
        <w:rPr>
          <w:rFonts w:hint="eastAsia" w:ascii="仿宋_GB2312" w:hAnsi="仿宋_GB2312" w:eastAsia="仿宋_GB2312" w:cs="仿宋_GB2312"/>
          <w:sz w:val="32"/>
          <w:szCs w:val="32"/>
        </w:rPr>
        <w:t>和</w:t>
      </w:r>
      <w:r>
        <w:rPr>
          <w:rFonts w:hint="eastAsia" w:ascii="仿宋_GB2312" w:hAnsi="仿宋_GB2312" w:eastAsia="仿宋_GB2312" w:cs="仿宋_GB2312"/>
          <w:spacing w:val="-13"/>
          <w:sz w:val="32"/>
          <w:szCs w:val="32"/>
        </w:rPr>
        <w:t>城建计划;牵头负责城市地下管线建设统筹和数据管理;负责</w:t>
      </w:r>
      <w:r>
        <w:rPr>
          <w:rFonts w:hint="eastAsia" w:ascii="仿宋_GB2312" w:hAnsi="仿宋_GB2312" w:eastAsia="仿宋_GB2312" w:cs="仿宋_GB2312"/>
          <w:spacing w:val="-14"/>
          <w:sz w:val="32"/>
          <w:szCs w:val="32"/>
        </w:rPr>
        <w:t>住宅专项维修资金缴存管理和城市基础设施建设配套费的</w:t>
      </w:r>
      <w:r>
        <w:rPr>
          <w:rFonts w:hint="eastAsia" w:ascii="仿宋_GB2312" w:hAnsi="仿宋_GB2312" w:eastAsia="仿宋_GB2312" w:cs="仿宋_GB2312"/>
          <w:spacing w:val="-10"/>
          <w:sz w:val="32"/>
          <w:szCs w:val="32"/>
        </w:rPr>
        <w:t>征</w:t>
      </w:r>
      <w:r>
        <w:rPr>
          <w:rFonts w:hint="eastAsia" w:ascii="仿宋_GB2312" w:hAnsi="仿宋_GB2312" w:eastAsia="仿宋_GB2312" w:cs="仿宋_GB2312"/>
          <w:spacing w:val="-25"/>
          <w:sz w:val="32"/>
          <w:szCs w:val="32"/>
        </w:rPr>
        <w:t>收</w:t>
      </w:r>
      <w:r>
        <w:rPr>
          <w:rFonts w:hint="eastAsia" w:ascii="仿宋_GB2312" w:hAnsi="仿宋_GB2312" w:eastAsia="仿宋_GB2312" w:cs="仿宋_GB2312"/>
          <w:spacing w:val="-22"/>
          <w:sz w:val="32"/>
          <w:szCs w:val="32"/>
        </w:rPr>
        <w:t>管理。</w:t>
      </w:r>
    </w:p>
    <w:p>
      <w:pPr>
        <w:keepNext w:val="0"/>
        <w:keepLines w:val="0"/>
        <w:pageBreakBefore w:val="0"/>
        <w:kinsoku/>
        <w:wordWrap/>
        <w:overflowPunct/>
        <w:topLinePunct w:val="0"/>
        <w:autoSpaceDE/>
        <w:autoSpaceDN/>
        <w:bidi w:val="0"/>
        <w:adjustRightInd/>
        <w:snapToGrid/>
        <w:spacing w:line="600" w:lineRule="exact"/>
        <w:ind w:right="27" w:firstLine="524" w:firstLineChars="200"/>
        <w:textAlignment w:val="auto"/>
        <w:rPr>
          <w:rFonts w:hint="eastAsia" w:ascii="仿宋_GB2312" w:hAnsi="仿宋_GB2312" w:eastAsia="仿宋_GB2312" w:cs="仿宋_GB2312"/>
          <w:spacing w:val="-21"/>
          <w:sz w:val="32"/>
          <w:szCs w:val="32"/>
        </w:rPr>
      </w:pPr>
      <w:r>
        <w:rPr>
          <w:rFonts w:hint="eastAsia" w:ascii="仿宋_GB2312" w:hAnsi="仿宋_GB2312" w:eastAsia="仿宋_GB2312" w:cs="仿宋_GB2312"/>
          <w:spacing w:val="-29"/>
          <w:sz w:val="32"/>
          <w:szCs w:val="32"/>
          <w:lang w:val="en-US" w:eastAsia="zh-CN"/>
        </w:rPr>
        <w:t>3、</w:t>
      </w:r>
      <w:r>
        <w:rPr>
          <w:rFonts w:hint="eastAsia" w:ascii="仿宋_GB2312" w:hAnsi="仿宋_GB2312" w:eastAsia="仿宋_GB2312" w:cs="仿宋_GB2312"/>
          <w:spacing w:val="-17"/>
          <w:sz w:val="32"/>
          <w:szCs w:val="32"/>
        </w:rPr>
        <w:t>建立和完善住房保障体系，研究拟订全市住房保障</w:t>
      </w:r>
      <w:r>
        <w:rPr>
          <w:rFonts w:hint="eastAsia" w:ascii="仿宋_GB2312" w:hAnsi="仿宋_GB2312" w:eastAsia="仿宋_GB2312" w:cs="仿宋_GB2312"/>
          <w:spacing w:val="-13"/>
          <w:sz w:val="32"/>
          <w:szCs w:val="32"/>
        </w:rPr>
        <w:t>政策并监督实施;指导监督全市住房保障工作;拟订全市住房</w:t>
      </w:r>
      <w:r>
        <w:rPr>
          <w:rFonts w:hint="eastAsia" w:ascii="仿宋_GB2312" w:hAnsi="仿宋_GB2312" w:eastAsia="仿宋_GB2312" w:cs="仿宋_GB2312"/>
          <w:spacing w:val="-7"/>
          <w:sz w:val="32"/>
          <w:szCs w:val="32"/>
        </w:rPr>
        <w:t>(含保障性住房)发展规划及年度计划并监督实施;会同相</w:t>
      </w:r>
      <w:r>
        <w:rPr>
          <w:rFonts w:hint="eastAsia" w:ascii="仿宋_GB2312" w:hAnsi="仿宋_GB2312" w:eastAsia="仿宋_GB2312" w:cs="仿宋_GB2312"/>
          <w:spacing w:val="-3"/>
          <w:sz w:val="32"/>
          <w:szCs w:val="32"/>
        </w:rPr>
        <w:t>关</w:t>
      </w:r>
      <w:r>
        <w:rPr>
          <w:rFonts w:hint="eastAsia" w:ascii="仿宋_GB2312" w:hAnsi="仿宋_GB2312" w:eastAsia="仿宋_GB2312" w:cs="仿宋_GB2312"/>
          <w:spacing w:val="-30"/>
          <w:sz w:val="32"/>
          <w:szCs w:val="32"/>
        </w:rPr>
        <w:t>部</w:t>
      </w:r>
      <w:r>
        <w:rPr>
          <w:rFonts w:hint="eastAsia" w:ascii="仿宋_GB2312" w:hAnsi="仿宋_GB2312" w:eastAsia="仿宋_GB2312" w:cs="仿宋_GB2312"/>
          <w:spacing w:val="-19"/>
          <w:sz w:val="32"/>
          <w:szCs w:val="32"/>
        </w:rPr>
        <w:t>门做好政府有关住房保障专项资金安排和资金监管工作;指</w:t>
      </w:r>
      <w:r>
        <w:rPr>
          <w:rFonts w:hint="eastAsia" w:ascii="仿宋_GB2312" w:hAnsi="仿宋_GB2312" w:eastAsia="仿宋_GB2312" w:cs="仿宋_GB2312"/>
          <w:spacing w:val="-35"/>
          <w:sz w:val="32"/>
          <w:szCs w:val="32"/>
        </w:rPr>
        <w:t>导</w:t>
      </w:r>
      <w:r>
        <w:rPr>
          <w:rFonts w:hint="eastAsia" w:ascii="仿宋_GB2312" w:hAnsi="仿宋_GB2312" w:eastAsia="仿宋_GB2312" w:cs="仿宋_GB2312"/>
          <w:spacing w:val="-19"/>
          <w:sz w:val="32"/>
          <w:szCs w:val="32"/>
        </w:rPr>
        <w:t>监督保障性住房建设、运营、管理;组织指导城市、国有工</w:t>
      </w:r>
      <w:r>
        <w:rPr>
          <w:rFonts w:hint="eastAsia" w:ascii="仿宋_GB2312" w:hAnsi="仿宋_GB2312" w:eastAsia="仿宋_GB2312" w:cs="仿宋_GB2312"/>
          <w:spacing w:val="-32"/>
          <w:sz w:val="32"/>
          <w:szCs w:val="32"/>
        </w:rPr>
        <w:t>矿</w:t>
      </w:r>
      <w:r>
        <w:rPr>
          <w:rFonts w:hint="eastAsia" w:ascii="仿宋_GB2312" w:hAnsi="仿宋_GB2312" w:eastAsia="仿宋_GB2312" w:cs="仿宋_GB2312"/>
          <w:spacing w:val="-21"/>
          <w:sz w:val="32"/>
          <w:szCs w:val="32"/>
        </w:rPr>
        <w:t>棚户区改造和老旧小区改造工作。</w:t>
      </w:r>
    </w:p>
    <w:p>
      <w:pPr>
        <w:keepNext w:val="0"/>
        <w:keepLines w:val="0"/>
        <w:pageBreakBefore w:val="0"/>
        <w:kinsoku/>
        <w:wordWrap/>
        <w:overflowPunct/>
        <w:topLinePunct w:val="0"/>
        <w:autoSpaceDE/>
        <w:autoSpaceDN/>
        <w:bidi w:val="0"/>
        <w:adjustRightInd/>
        <w:snapToGrid/>
        <w:spacing w:before="1" w:line="600" w:lineRule="exact"/>
        <w:ind w:right="8" w:firstLine="556"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21"/>
          <w:sz w:val="32"/>
          <w:szCs w:val="32"/>
          <w:lang w:val="en-US" w:eastAsia="zh-CN"/>
        </w:rPr>
        <w:t>4、</w:t>
      </w:r>
      <w:r>
        <w:rPr>
          <w:rFonts w:hint="eastAsia" w:ascii="仿宋_GB2312" w:hAnsi="仿宋_GB2312" w:eastAsia="仿宋_GB2312" w:cs="仿宋_GB2312"/>
          <w:spacing w:val="-17"/>
          <w:sz w:val="32"/>
          <w:szCs w:val="32"/>
        </w:rPr>
        <w:t>负责全市房地产市场监督管理，规范房地产市场秩</w:t>
      </w:r>
      <w:r>
        <w:rPr>
          <w:rFonts w:hint="eastAsia" w:ascii="仿宋_GB2312" w:hAnsi="仿宋_GB2312" w:eastAsia="仿宋_GB2312" w:cs="仿宋_GB2312"/>
          <w:spacing w:val="-19"/>
          <w:sz w:val="32"/>
          <w:szCs w:val="32"/>
        </w:rPr>
        <w:t>序。负责权限内房地产开发企业资质认定;负责商品房屋预</w:t>
      </w:r>
      <w:r>
        <w:rPr>
          <w:rFonts w:hint="eastAsia" w:ascii="仿宋_GB2312" w:hAnsi="仿宋_GB2312" w:eastAsia="仿宋_GB2312" w:cs="仿宋_GB2312"/>
          <w:spacing w:val="-16"/>
          <w:sz w:val="32"/>
          <w:szCs w:val="32"/>
        </w:rPr>
        <w:t>售</w:t>
      </w:r>
      <w:r>
        <w:rPr>
          <w:rFonts w:hint="eastAsia" w:ascii="仿宋_GB2312" w:hAnsi="仿宋_GB2312" w:eastAsia="仿宋_GB2312" w:cs="仿宋_GB2312"/>
          <w:spacing w:val="-25"/>
          <w:sz w:val="32"/>
          <w:szCs w:val="32"/>
        </w:rPr>
        <w:t>许</w:t>
      </w:r>
      <w:r>
        <w:rPr>
          <w:rFonts w:hint="eastAsia" w:ascii="仿宋_GB2312" w:hAnsi="仿宋_GB2312" w:eastAsia="仿宋_GB2312" w:cs="仿宋_GB2312"/>
          <w:spacing w:val="-19"/>
          <w:sz w:val="32"/>
          <w:szCs w:val="32"/>
        </w:rPr>
        <w:t>可、销售管理和房屋交易管理;负责房产测绘及成果应用的</w:t>
      </w:r>
      <w:r>
        <w:rPr>
          <w:rFonts w:hint="eastAsia" w:ascii="仿宋_GB2312" w:hAnsi="仿宋_GB2312" w:eastAsia="仿宋_GB2312" w:cs="仿宋_GB2312"/>
          <w:spacing w:val="-35"/>
          <w:sz w:val="32"/>
          <w:szCs w:val="32"/>
        </w:rPr>
        <w:t>监</w:t>
      </w:r>
      <w:r>
        <w:rPr>
          <w:rFonts w:hint="eastAsia" w:ascii="仿宋_GB2312" w:hAnsi="仿宋_GB2312" w:eastAsia="仿宋_GB2312" w:cs="仿宋_GB2312"/>
          <w:spacing w:val="-19"/>
          <w:sz w:val="32"/>
          <w:szCs w:val="32"/>
        </w:rPr>
        <w:t>督管理;监督管理房地产开发市场、房地产交易市场、物业管理市场、房地产中介服务市场和房屋租赁市场;监督管理</w:t>
      </w:r>
      <w:r>
        <w:rPr>
          <w:rFonts w:hint="eastAsia" w:ascii="仿宋_GB2312" w:hAnsi="仿宋_GB2312" w:eastAsia="仿宋_GB2312" w:cs="仿宋_GB2312"/>
          <w:spacing w:val="-16"/>
          <w:sz w:val="32"/>
          <w:szCs w:val="32"/>
        </w:rPr>
        <w:t>国</w:t>
      </w:r>
      <w:r>
        <w:rPr>
          <w:rFonts w:hint="eastAsia" w:ascii="仿宋_GB2312" w:hAnsi="仿宋_GB2312" w:eastAsia="仿宋_GB2312" w:cs="仿宋_GB2312"/>
          <w:spacing w:val="-19"/>
          <w:sz w:val="32"/>
          <w:szCs w:val="32"/>
        </w:rPr>
        <w:t>有土地上房屋征收与补偿、城市房屋白蚁防治工作;负责危旧</w:t>
      </w:r>
      <w:r>
        <w:rPr>
          <w:rFonts w:hint="eastAsia" w:ascii="仿宋_GB2312" w:hAnsi="仿宋_GB2312" w:eastAsia="仿宋_GB2312" w:cs="仿宋_GB2312"/>
          <w:spacing w:val="-24"/>
          <w:sz w:val="32"/>
          <w:szCs w:val="32"/>
        </w:rPr>
        <w:t>房</w:t>
      </w:r>
      <w:r>
        <w:rPr>
          <w:rFonts w:hint="eastAsia" w:ascii="仿宋_GB2312" w:hAnsi="仿宋_GB2312" w:eastAsia="仿宋_GB2312" w:cs="仿宋_GB2312"/>
          <w:spacing w:val="-21"/>
          <w:sz w:val="32"/>
          <w:szCs w:val="32"/>
        </w:rPr>
        <w:t>屋的安全鉴定和行业管理工作。</w:t>
      </w:r>
    </w:p>
    <w:p>
      <w:pPr>
        <w:keepNext w:val="0"/>
        <w:keepLines w:val="0"/>
        <w:pageBreakBefore w:val="0"/>
        <w:kinsoku/>
        <w:wordWrap/>
        <w:overflowPunct/>
        <w:topLinePunct w:val="0"/>
        <w:autoSpaceDE/>
        <w:autoSpaceDN/>
        <w:bidi w:val="0"/>
        <w:adjustRightInd/>
        <w:snapToGrid/>
        <w:spacing w:before="1" w:line="600" w:lineRule="exact"/>
        <w:ind w:firstLine="564"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9"/>
          <w:sz w:val="32"/>
          <w:szCs w:val="32"/>
          <w:lang w:val="en-US" w:eastAsia="zh-CN"/>
        </w:rPr>
        <w:t>5、</w:t>
      </w:r>
      <w:r>
        <w:rPr>
          <w:rFonts w:hint="eastAsia" w:ascii="仿宋_GB2312" w:hAnsi="仿宋_GB2312" w:eastAsia="仿宋_GB2312" w:cs="仿宋_GB2312"/>
          <w:spacing w:val="-17"/>
          <w:sz w:val="32"/>
          <w:szCs w:val="32"/>
        </w:rPr>
        <w:t>负责全市建筑市场监督管理。负责全市建设工程招</w:t>
      </w:r>
      <w:r>
        <w:rPr>
          <w:rFonts w:hint="eastAsia" w:ascii="仿宋_GB2312" w:hAnsi="仿宋_GB2312" w:eastAsia="仿宋_GB2312" w:cs="仿宋_GB2312"/>
          <w:spacing w:val="-22"/>
          <w:sz w:val="32"/>
          <w:szCs w:val="32"/>
        </w:rPr>
        <w:t>标</w:t>
      </w:r>
      <w:r>
        <w:rPr>
          <w:rFonts w:hint="eastAsia" w:ascii="仿宋_GB2312" w:hAnsi="仿宋_GB2312" w:eastAsia="仿宋_GB2312" w:cs="仿宋_GB2312"/>
          <w:spacing w:val="-17"/>
          <w:sz w:val="32"/>
          <w:szCs w:val="32"/>
        </w:rPr>
        <w:t>投标监管和备案工作;负责建筑施工、装饰装修、工程监理、</w:t>
      </w:r>
      <w:r>
        <w:rPr>
          <w:rFonts w:hint="eastAsia" w:ascii="仿宋_GB2312" w:hAnsi="仿宋_GB2312" w:eastAsia="仿宋_GB2312" w:cs="仿宋_GB2312"/>
          <w:spacing w:val="-32"/>
          <w:sz w:val="32"/>
          <w:szCs w:val="32"/>
        </w:rPr>
        <w:t>造</w:t>
      </w:r>
      <w:r>
        <w:rPr>
          <w:rFonts w:hint="eastAsia" w:ascii="仿宋_GB2312" w:hAnsi="仿宋_GB2312" w:eastAsia="仿宋_GB2312" w:cs="仿宋_GB2312"/>
          <w:spacing w:val="-19"/>
          <w:sz w:val="32"/>
          <w:szCs w:val="32"/>
        </w:rPr>
        <w:t>价</w:t>
      </w:r>
      <w:r>
        <w:rPr>
          <w:rFonts w:hint="eastAsia" w:ascii="仿宋_GB2312" w:hAnsi="仿宋_GB2312" w:eastAsia="仿宋_GB2312" w:cs="仿宋_GB2312"/>
          <w:spacing w:val="-16"/>
          <w:sz w:val="32"/>
          <w:szCs w:val="32"/>
        </w:rPr>
        <w:t>咨询、招标代理、建设工程质量检测和商品混凝土生产等</w:t>
      </w:r>
      <w:r>
        <w:rPr>
          <w:rFonts w:hint="eastAsia" w:ascii="仿宋_GB2312" w:hAnsi="仿宋_GB2312" w:eastAsia="仿宋_GB2312" w:cs="仿宋_GB2312"/>
          <w:spacing w:val="-11"/>
          <w:sz w:val="32"/>
          <w:szCs w:val="32"/>
        </w:rPr>
        <w:t>行业的监管;按照规定权限负责全市建筑业、工程监理、检</w:t>
      </w:r>
      <w:r>
        <w:rPr>
          <w:rFonts w:hint="eastAsia" w:ascii="仿宋_GB2312" w:hAnsi="仿宋_GB2312" w:eastAsia="仿宋_GB2312" w:cs="仿宋_GB2312"/>
          <w:spacing w:val="-10"/>
          <w:sz w:val="32"/>
          <w:szCs w:val="32"/>
        </w:rPr>
        <w:t>验</w:t>
      </w:r>
      <w:r>
        <w:rPr>
          <w:rFonts w:hint="eastAsia" w:ascii="仿宋_GB2312" w:hAnsi="仿宋_GB2312" w:eastAsia="仿宋_GB2312" w:cs="仿宋_GB2312"/>
          <w:spacing w:val="-25"/>
          <w:sz w:val="32"/>
          <w:szCs w:val="32"/>
        </w:rPr>
        <w:t>检</w:t>
      </w:r>
      <w:r>
        <w:rPr>
          <w:rFonts w:hint="eastAsia" w:ascii="仿宋_GB2312" w:hAnsi="仿宋_GB2312" w:eastAsia="仿宋_GB2312" w:cs="仿宋_GB2312"/>
          <w:spacing w:val="-16"/>
          <w:sz w:val="32"/>
          <w:szCs w:val="32"/>
        </w:rPr>
        <w:t>测、商品混凝土、预拌砂浆、装饰装修等企业及其相关中介</w:t>
      </w:r>
      <w:r>
        <w:rPr>
          <w:rFonts w:hint="eastAsia" w:ascii="仿宋_GB2312" w:hAnsi="仿宋_GB2312" w:eastAsia="仿宋_GB2312" w:cs="仿宋_GB2312"/>
          <w:spacing w:val="-17"/>
          <w:sz w:val="32"/>
          <w:szCs w:val="32"/>
        </w:rPr>
        <w:t>组织的资质和从业人员资格管理，对商品混凝土、预拌砂浆</w:t>
      </w:r>
      <w:r>
        <w:rPr>
          <w:rFonts w:hint="eastAsia" w:ascii="仿宋_GB2312" w:hAnsi="仿宋_GB2312" w:eastAsia="仿宋_GB2312" w:cs="仿宋_GB2312"/>
          <w:spacing w:val="-13"/>
          <w:sz w:val="32"/>
          <w:szCs w:val="32"/>
        </w:rPr>
        <w:t>生</w:t>
      </w:r>
      <w:r>
        <w:rPr>
          <w:rFonts w:hint="eastAsia" w:ascii="仿宋_GB2312" w:hAnsi="仿宋_GB2312" w:eastAsia="仿宋_GB2312" w:cs="仿宋_GB2312"/>
          <w:spacing w:val="-11"/>
          <w:sz w:val="32"/>
          <w:szCs w:val="32"/>
        </w:rPr>
        <w:t>产、销售、使用过程中的违法违规行为进行行政处罚;负责</w:t>
      </w:r>
      <w:r>
        <w:rPr>
          <w:rFonts w:hint="eastAsia" w:ascii="仿宋_GB2312" w:hAnsi="仿宋_GB2312" w:eastAsia="仿宋_GB2312" w:cs="仿宋_GB2312"/>
          <w:spacing w:val="-7"/>
          <w:sz w:val="32"/>
          <w:szCs w:val="32"/>
        </w:rPr>
        <w:t>建</w:t>
      </w:r>
      <w:r>
        <w:rPr>
          <w:rFonts w:hint="eastAsia" w:ascii="仿宋_GB2312" w:hAnsi="仿宋_GB2312" w:eastAsia="仿宋_GB2312" w:cs="仿宋_GB2312"/>
          <w:spacing w:val="-11"/>
          <w:sz w:val="32"/>
          <w:szCs w:val="32"/>
        </w:rPr>
        <w:t>筑工程施工许可;负责房屋建筑和市政基础设施工程公开招</w:t>
      </w:r>
      <w:r>
        <w:rPr>
          <w:rFonts w:hint="eastAsia" w:ascii="仿宋_GB2312" w:hAnsi="仿宋_GB2312" w:eastAsia="仿宋_GB2312" w:cs="仿宋_GB2312"/>
          <w:spacing w:val="-10"/>
          <w:sz w:val="32"/>
          <w:szCs w:val="32"/>
        </w:rPr>
        <w:t>标</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pacing w:val="-13"/>
          <w:sz w:val="32"/>
          <w:szCs w:val="32"/>
        </w:rPr>
        <w:t>项目的招标控制价备案、工程造价管理</w:t>
      </w:r>
      <w:r>
        <w:rPr>
          <w:rFonts w:hint="eastAsia" w:ascii="仿宋_GB2312" w:hAnsi="仿宋_GB2312" w:eastAsia="仿宋_GB2312" w:cs="仿宋_GB2312"/>
          <w:spacing w:val="-11"/>
          <w:sz w:val="32"/>
          <w:szCs w:val="32"/>
        </w:rPr>
        <w:t>。</w:t>
      </w:r>
    </w:p>
    <w:p>
      <w:pPr>
        <w:keepNext w:val="0"/>
        <w:keepLines w:val="0"/>
        <w:pageBreakBefore w:val="0"/>
        <w:kinsoku/>
        <w:wordWrap/>
        <w:overflowPunct/>
        <w:topLinePunct w:val="0"/>
        <w:autoSpaceDE/>
        <w:autoSpaceDN/>
        <w:bidi w:val="0"/>
        <w:adjustRightInd/>
        <w:snapToGrid/>
        <w:spacing w:before="10" w:line="600" w:lineRule="exact"/>
        <w:ind w:right="125"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lang w:val="en-US" w:eastAsia="zh-CN"/>
        </w:rPr>
        <w:t>6、</w:t>
      </w:r>
      <w:r>
        <w:rPr>
          <w:rFonts w:hint="eastAsia" w:ascii="仿宋_GB2312" w:hAnsi="仿宋_GB2312" w:eastAsia="仿宋_GB2312" w:cs="仿宋_GB2312"/>
          <w:spacing w:val="-10"/>
          <w:sz w:val="32"/>
          <w:szCs w:val="32"/>
        </w:rPr>
        <w:t>负责全市房屋建筑和市政基础设施的工程质量、</w:t>
      </w:r>
      <w:r>
        <w:rPr>
          <w:rFonts w:hint="eastAsia" w:ascii="仿宋_GB2312" w:hAnsi="仿宋_GB2312" w:eastAsia="仿宋_GB2312" w:cs="仿宋_GB2312"/>
          <w:spacing w:val="-9"/>
          <w:sz w:val="32"/>
          <w:szCs w:val="32"/>
        </w:rPr>
        <w:t>安</w:t>
      </w:r>
      <w:r>
        <w:rPr>
          <w:rFonts w:hint="eastAsia" w:ascii="仿宋_GB2312" w:hAnsi="仿宋_GB2312" w:eastAsia="仿宋_GB2312" w:cs="仿宋_GB2312"/>
          <w:spacing w:val="-11"/>
          <w:sz w:val="32"/>
          <w:szCs w:val="32"/>
        </w:rPr>
        <w:t>全生产、文明施工的监督管理。贯彻执行工程建设标准;制</w:t>
      </w:r>
      <w:r>
        <w:rPr>
          <w:rFonts w:hint="eastAsia" w:ascii="仿宋_GB2312" w:hAnsi="仿宋_GB2312" w:eastAsia="仿宋_GB2312" w:cs="仿宋_GB2312"/>
          <w:spacing w:val="-7"/>
          <w:sz w:val="32"/>
          <w:szCs w:val="32"/>
        </w:rPr>
        <w:t>定</w:t>
      </w:r>
      <w:r>
        <w:rPr>
          <w:rFonts w:hint="eastAsia" w:ascii="仿宋_GB2312" w:hAnsi="仿宋_GB2312" w:eastAsia="仿宋_GB2312" w:cs="仿宋_GB2312"/>
          <w:spacing w:val="-18"/>
          <w:sz w:val="32"/>
          <w:szCs w:val="32"/>
        </w:rPr>
        <w:t>建设</w:t>
      </w:r>
      <w:r>
        <w:rPr>
          <w:rFonts w:hint="eastAsia" w:ascii="仿宋_GB2312" w:hAnsi="仿宋_GB2312" w:eastAsia="仿宋_GB2312" w:cs="仿宋_GB2312"/>
          <w:spacing w:val="-12"/>
          <w:sz w:val="32"/>
          <w:szCs w:val="32"/>
        </w:rPr>
        <w:t>工</w:t>
      </w:r>
      <w:r>
        <w:rPr>
          <w:rFonts w:hint="eastAsia" w:ascii="仿宋_GB2312" w:hAnsi="仿宋_GB2312" w:eastAsia="仿宋_GB2312" w:cs="仿宋_GB2312"/>
          <w:spacing w:val="-9"/>
          <w:sz w:val="32"/>
          <w:szCs w:val="32"/>
        </w:rPr>
        <w:t>程质量管理、安全生产的规章制度并监督执行;负责中</w:t>
      </w:r>
      <w:r>
        <w:rPr>
          <w:rFonts w:hint="eastAsia" w:ascii="仿宋_GB2312" w:hAnsi="仿宋_GB2312" w:eastAsia="仿宋_GB2312" w:cs="仿宋_GB2312"/>
          <w:spacing w:val="-6"/>
          <w:sz w:val="32"/>
          <w:szCs w:val="32"/>
        </w:rPr>
        <w:t>心城区</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3"/>
          <w:sz w:val="32"/>
          <w:szCs w:val="32"/>
        </w:rPr>
        <w:t>含城陵矶新港区，下同)建设工程施工现场质量安全</w:t>
      </w:r>
      <w:r>
        <w:rPr>
          <w:rFonts w:hint="eastAsia" w:ascii="仿宋_GB2312" w:hAnsi="仿宋_GB2312" w:eastAsia="仿宋_GB2312" w:cs="仿宋_GB2312"/>
          <w:spacing w:val="-7"/>
          <w:sz w:val="32"/>
          <w:szCs w:val="32"/>
        </w:rPr>
        <w:t>管</w:t>
      </w:r>
      <w:r>
        <w:rPr>
          <w:rFonts w:hint="eastAsia" w:ascii="仿宋_GB2312" w:hAnsi="仿宋_GB2312" w:eastAsia="仿宋_GB2312" w:cs="仿宋_GB2312"/>
          <w:spacing w:val="-5"/>
          <w:sz w:val="32"/>
          <w:szCs w:val="32"/>
        </w:rPr>
        <w:t>理;牵头组织建设工程项目联合验收备案;按照规定权限负</w:t>
      </w:r>
      <w:r>
        <w:rPr>
          <w:rFonts w:hint="eastAsia" w:ascii="仿宋_GB2312" w:hAnsi="仿宋_GB2312" w:eastAsia="仿宋_GB2312" w:cs="仿宋_GB2312"/>
          <w:spacing w:val="-20"/>
          <w:sz w:val="32"/>
          <w:szCs w:val="32"/>
        </w:rPr>
        <w:t>责</w:t>
      </w:r>
      <w:r>
        <w:rPr>
          <w:rFonts w:hint="eastAsia" w:ascii="仿宋_GB2312" w:hAnsi="仿宋_GB2312" w:eastAsia="仿宋_GB2312" w:cs="仿宋_GB2312"/>
          <w:spacing w:val="-17"/>
          <w:sz w:val="32"/>
          <w:szCs w:val="32"/>
        </w:rPr>
        <w:t>建</w:t>
      </w:r>
      <w:r>
        <w:rPr>
          <w:rFonts w:hint="eastAsia" w:ascii="仿宋_GB2312" w:hAnsi="仿宋_GB2312" w:eastAsia="仿宋_GB2312" w:cs="仿宋_GB2312"/>
          <w:spacing w:val="-10"/>
          <w:sz w:val="32"/>
          <w:szCs w:val="32"/>
        </w:rPr>
        <w:t>筑施工企业安全生产许可证和安管人员资格的管理;负责</w:t>
      </w:r>
      <w:r>
        <w:rPr>
          <w:rFonts w:hint="eastAsia" w:ascii="仿宋_GB2312" w:hAnsi="仿宋_GB2312" w:eastAsia="仿宋_GB2312" w:cs="仿宋_GB2312"/>
          <w:spacing w:val="-14"/>
          <w:sz w:val="32"/>
          <w:szCs w:val="32"/>
        </w:rPr>
        <w:t>建</w:t>
      </w:r>
      <w:r>
        <w:rPr>
          <w:rFonts w:hint="eastAsia" w:ascii="仿宋_GB2312" w:hAnsi="仿宋_GB2312" w:eastAsia="仿宋_GB2312" w:cs="仿宋_GB2312"/>
          <w:spacing w:val="-10"/>
          <w:sz w:val="32"/>
          <w:szCs w:val="32"/>
        </w:rPr>
        <w:t>筑起重机械特种作业操作资格管理;参与建设工程质量、安</w:t>
      </w:r>
      <w:r>
        <w:rPr>
          <w:rFonts w:hint="eastAsia" w:ascii="仿宋_GB2312" w:hAnsi="仿宋_GB2312" w:eastAsia="仿宋_GB2312" w:cs="仿宋_GB2312"/>
          <w:spacing w:val="-17"/>
          <w:sz w:val="32"/>
          <w:szCs w:val="32"/>
        </w:rPr>
        <w:t>全</w:t>
      </w:r>
      <w:r>
        <w:rPr>
          <w:rFonts w:hint="eastAsia" w:ascii="仿宋_GB2312" w:hAnsi="仿宋_GB2312" w:eastAsia="仿宋_GB2312" w:cs="仿宋_GB2312"/>
          <w:spacing w:val="-14"/>
          <w:sz w:val="32"/>
          <w:szCs w:val="32"/>
        </w:rPr>
        <w:t>事故的调查处理。</w:t>
      </w:r>
    </w:p>
    <w:p>
      <w:pPr>
        <w:keepNext w:val="0"/>
        <w:keepLines w:val="0"/>
        <w:pageBreakBefore w:val="0"/>
        <w:kinsoku/>
        <w:wordWrap/>
        <w:overflowPunct/>
        <w:topLinePunct w:val="0"/>
        <w:autoSpaceDE/>
        <w:autoSpaceDN/>
        <w:bidi w:val="0"/>
        <w:adjustRightInd/>
        <w:snapToGrid/>
        <w:spacing w:before="6" w:line="600" w:lineRule="exact"/>
        <w:ind w:right="69" w:firstLine="584"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4"/>
          <w:sz w:val="32"/>
          <w:szCs w:val="32"/>
          <w:lang w:val="en-US" w:eastAsia="zh-CN"/>
        </w:rPr>
        <w:t>7、</w:t>
      </w:r>
      <w:r>
        <w:rPr>
          <w:rFonts w:hint="eastAsia" w:ascii="仿宋_GB2312" w:hAnsi="仿宋_GB2312" w:eastAsia="仿宋_GB2312" w:cs="仿宋_GB2312"/>
          <w:spacing w:val="-9"/>
          <w:sz w:val="32"/>
          <w:szCs w:val="32"/>
        </w:rPr>
        <w:t>负责建设工程消防设计审查、消防验收及竣工验收</w:t>
      </w:r>
      <w:r>
        <w:rPr>
          <w:rFonts w:hint="eastAsia" w:ascii="仿宋_GB2312" w:hAnsi="仿宋_GB2312" w:eastAsia="仿宋_GB2312" w:cs="仿宋_GB2312"/>
          <w:spacing w:val="-14"/>
          <w:sz w:val="32"/>
          <w:szCs w:val="32"/>
        </w:rPr>
        <w:t>消</w:t>
      </w:r>
      <w:r>
        <w:rPr>
          <w:rFonts w:hint="eastAsia" w:ascii="仿宋_GB2312" w:hAnsi="仿宋_GB2312" w:eastAsia="仿宋_GB2312" w:cs="仿宋_GB2312"/>
          <w:spacing w:val="-12"/>
          <w:sz w:val="32"/>
          <w:szCs w:val="32"/>
        </w:rPr>
        <w:t>防</w:t>
      </w:r>
      <w:r>
        <w:rPr>
          <w:rFonts w:hint="eastAsia" w:ascii="仿宋_GB2312" w:hAnsi="仿宋_GB2312" w:eastAsia="仿宋_GB2312" w:cs="仿宋_GB2312"/>
          <w:spacing w:val="-7"/>
          <w:sz w:val="32"/>
          <w:szCs w:val="32"/>
        </w:rPr>
        <w:t>备案、抽查工作;按照法定职权负责消防行政执法工作</w:t>
      </w:r>
      <w:r>
        <w:rPr>
          <w:rFonts w:hint="eastAsia" w:ascii="仿宋_GB2312" w:hAnsi="仿宋_GB2312" w:eastAsia="仿宋_GB2312" w:cs="仿宋_GB2312"/>
          <w:spacing w:val="-7"/>
          <w:sz w:val="32"/>
          <w:szCs w:val="32"/>
          <w:lang w:eastAsia="zh-CN"/>
        </w:rPr>
        <w:t>，</w:t>
      </w:r>
      <w:r>
        <w:rPr>
          <w:rFonts w:hint="eastAsia" w:ascii="仿宋_GB2312" w:hAnsi="仿宋_GB2312" w:eastAsia="仿宋_GB2312" w:cs="仿宋_GB2312"/>
          <w:spacing w:val="-5"/>
          <w:sz w:val="32"/>
          <w:szCs w:val="32"/>
        </w:rPr>
        <w:t>对建设工程消防设计审查验收过程中的违法违规行为进行</w:t>
      </w:r>
      <w:r>
        <w:rPr>
          <w:rFonts w:hint="eastAsia" w:ascii="仿宋_GB2312" w:hAnsi="仿宋_GB2312" w:eastAsia="仿宋_GB2312" w:cs="仿宋_GB2312"/>
          <w:spacing w:val="-3"/>
          <w:sz w:val="32"/>
          <w:szCs w:val="32"/>
        </w:rPr>
        <w:t>行</w:t>
      </w:r>
      <w:r>
        <w:rPr>
          <w:rFonts w:hint="eastAsia" w:ascii="仿宋_GB2312" w:hAnsi="仿宋_GB2312" w:eastAsia="仿宋_GB2312" w:cs="仿宋_GB2312"/>
          <w:spacing w:val="-15"/>
          <w:sz w:val="32"/>
          <w:szCs w:val="32"/>
        </w:rPr>
        <w:t>政</w:t>
      </w:r>
      <w:r>
        <w:rPr>
          <w:rFonts w:hint="eastAsia" w:ascii="仿宋_GB2312" w:hAnsi="仿宋_GB2312" w:eastAsia="仿宋_GB2312" w:cs="仿宋_GB2312"/>
          <w:spacing w:val="-12"/>
          <w:sz w:val="32"/>
          <w:szCs w:val="32"/>
        </w:rPr>
        <w:t>处罚。</w:t>
      </w:r>
    </w:p>
    <w:p>
      <w:pPr>
        <w:keepNext w:val="0"/>
        <w:keepLines w:val="0"/>
        <w:pageBreakBefore w:val="0"/>
        <w:widowControl w:val="0"/>
        <w:kinsoku/>
        <w:wordWrap/>
        <w:overflowPunct/>
        <w:topLinePunct w:val="0"/>
        <w:autoSpaceDE/>
        <w:autoSpaceDN/>
        <w:bidi w:val="0"/>
        <w:adjustRightInd/>
        <w:snapToGrid/>
        <w:spacing w:line="600" w:lineRule="exact"/>
        <w:ind w:firstLine="51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32"/>
          <w:sz w:val="32"/>
          <w:szCs w:val="32"/>
          <w:lang w:val="en-US" w:eastAsia="zh-CN"/>
        </w:rPr>
        <w:t>8、</w:t>
      </w:r>
      <w:r>
        <w:rPr>
          <w:rFonts w:hint="eastAsia" w:ascii="仿宋_GB2312" w:hAnsi="仿宋_GB2312" w:eastAsia="仿宋_GB2312" w:cs="仿宋_GB2312"/>
          <w:spacing w:val="-16"/>
          <w:sz w:val="32"/>
          <w:szCs w:val="32"/>
        </w:rPr>
        <w:t>负责绿色建筑、建筑节能和建设科技成果应用推广。</w:t>
      </w:r>
      <w:r>
        <w:rPr>
          <w:rFonts w:hint="eastAsia" w:ascii="仿宋_GB2312" w:hAnsi="仿宋_GB2312" w:eastAsia="仿宋_GB2312" w:cs="仿宋_GB2312"/>
          <w:spacing w:val="-25"/>
          <w:sz w:val="32"/>
          <w:szCs w:val="32"/>
        </w:rPr>
        <w:t>组织实施建筑节能、绿色建筑、装配式建筑、可再生能源建</w:t>
      </w:r>
      <w:r>
        <w:rPr>
          <w:rFonts w:hint="eastAsia" w:ascii="仿宋_GB2312" w:hAnsi="仿宋_GB2312" w:eastAsia="仿宋_GB2312" w:cs="仿宋_GB2312"/>
          <w:spacing w:val="-23"/>
          <w:sz w:val="32"/>
          <w:szCs w:val="32"/>
        </w:rPr>
        <w:t>筑</w:t>
      </w:r>
      <w:r>
        <w:rPr>
          <w:rFonts w:hint="eastAsia" w:ascii="仿宋_GB2312" w:hAnsi="仿宋_GB2312" w:eastAsia="仿宋_GB2312" w:cs="仿宋_GB2312"/>
          <w:spacing w:val="-36"/>
          <w:sz w:val="32"/>
          <w:szCs w:val="32"/>
        </w:rPr>
        <w:t>等</w:t>
      </w:r>
      <w:r>
        <w:rPr>
          <w:rFonts w:hint="eastAsia" w:ascii="仿宋_GB2312" w:hAnsi="仿宋_GB2312" w:eastAsia="仿宋_GB2312" w:cs="仿宋_GB2312"/>
          <w:spacing w:val="-22"/>
          <w:sz w:val="32"/>
          <w:szCs w:val="32"/>
        </w:rPr>
        <w:t>重</w:t>
      </w:r>
      <w:r>
        <w:rPr>
          <w:rFonts w:hint="eastAsia" w:ascii="仿宋_GB2312" w:hAnsi="仿宋_GB2312" w:eastAsia="仿宋_GB2312" w:cs="仿宋_GB2312"/>
          <w:spacing w:val="-18"/>
          <w:sz w:val="32"/>
          <w:szCs w:val="32"/>
        </w:rPr>
        <w:t>点项目和示范工程;指导行业企业技术中心建设和绿色建</w:t>
      </w:r>
      <w:r>
        <w:rPr>
          <w:rFonts w:hint="eastAsia" w:ascii="仿宋_GB2312" w:hAnsi="仿宋_GB2312" w:eastAsia="仿宋_GB2312" w:cs="仿宋_GB2312"/>
          <w:spacing w:val="-19"/>
          <w:sz w:val="32"/>
          <w:szCs w:val="32"/>
        </w:rPr>
        <w:t>材、新型墙体材料、散装水泥、机制砂石的推广应用工作;</w:t>
      </w:r>
      <w:r>
        <w:rPr>
          <w:rFonts w:hint="eastAsia" w:ascii="仿宋_GB2312" w:hAnsi="仿宋_GB2312" w:eastAsia="仿宋_GB2312" w:cs="仿宋_GB2312"/>
          <w:spacing w:val="-15"/>
          <w:sz w:val="32"/>
          <w:szCs w:val="32"/>
        </w:rPr>
        <w:t>推</w:t>
      </w:r>
      <w:r>
        <w:rPr>
          <w:rFonts w:hint="eastAsia" w:ascii="仿宋_GB2312" w:hAnsi="仿宋_GB2312" w:eastAsia="仿宋_GB2312" w:cs="仿宋_GB2312"/>
          <w:spacing w:val="-21"/>
          <w:sz w:val="32"/>
          <w:szCs w:val="32"/>
        </w:rPr>
        <w:t>广</w:t>
      </w:r>
      <w:r>
        <w:rPr>
          <w:rFonts w:hint="eastAsia" w:ascii="仿宋_GB2312" w:hAnsi="仿宋_GB2312" w:eastAsia="仿宋_GB2312" w:cs="仿宋_GB2312"/>
          <w:spacing w:val="-15"/>
          <w:sz w:val="32"/>
          <w:szCs w:val="32"/>
        </w:rPr>
        <w:t>实施工程建设标准和工法;负责对粘土砖的生产销售使用、</w:t>
      </w:r>
      <w:r>
        <w:rPr>
          <w:rFonts w:hint="eastAsia" w:ascii="仿宋_GB2312" w:hAnsi="仿宋_GB2312" w:eastAsia="仿宋_GB2312" w:cs="仿宋_GB2312"/>
          <w:spacing w:val="-13"/>
          <w:sz w:val="32"/>
          <w:szCs w:val="32"/>
        </w:rPr>
        <w:t>散装水泥及水泥制品的生产销售使用、现场搅拌混凝土和</w:t>
      </w:r>
      <w:r>
        <w:rPr>
          <w:rFonts w:hint="eastAsia" w:ascii="仿宋_GB2312" w:hAnsi="仿宋_GB2312" w:eastAsia="仿宋_GB2312" w:cs="仿宋_GB2312"/>
          <w:spacing w:val="-10"/>
          <w:sz w:val="32"/>
          <w:szCs w:val="32"/>
        </w:rPr>
        <w:t>砂</w:t>
      </w:r>
      <w:r>
        <w:rPr>
          <w:rFonts w:hint="eastAsia" w:ascii="仿宋_GB2312" w:hAnsi="仿宋_GB2312" w:eastAsia="仿宋_GB2312" w:cs="仿宋_GB2312"/>
          <w:spacing w:val="-36"/>
          <w:sz w:val="32"/>
          <w:szCs w:val="32"/>
        </w:rPr>
        <w:t>浆</w:t>
      </w:r>
      <w:r>
        <w:rPr>
          <w:rFonts w:hint="eastAsia" w:ascii="仿宋_GB2312" w:hAnsi="仿宋_GB2312" w:eastAsia="仿宋_GB2312" w:cs="仿宋_GB2312"/>
          <w:spacing w:val="-18"/>
          <w:sz w:val="32"/>
          <w:szCs w:val="32"/>
        </w:rPr>
        <w:t>、绿色建筑、装配式建筑等违法违规行为进行行政处罚;指</w:t>
      </w:r>
      <w:r>
        <w:rPr>
          <w:rFonts w:hint="eastAsia" w:ascii="仿宋_GB2312" w:hAnsi="仿宋_GB2312" w:eastAsia="仿宋_GB2312" w:cs="仿宋_GB2312"/>
          <w:spacing w:val="-30"/>
          <w:sz w:val="32"/>
          <w:szCs w:val="32"/>
        </w:rPr>
        <w:t>导</w:t>
      </w:r>
      <w:r>
        <w:rPr>
          <w:rFonts w:hint="eastAsia" w:ascii="仿宋_GB2312" w:hAnsi="仿宋_GB2312" w:eastAsia="仿宋_GB2312" w:cs="仿宋_GB2312"/>
          <w:spacing w:val="-23"/>
          <w:sz w:val="32"/>
          <w:szCs w:val="32"/>
        </w:rPr>
        <w:t>住宅产业化工作。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72"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lang w:val="en-US" w:eastAsia="zh-CN"/>
        </w:rPr>
        <w:t>9、</w:t>
      </w:r>
      <w:r>
        <w:rPr>
          <w:rFonts w:hint="eastAsia" w:ascii="仿宋_GB2312" w:hAnsi="仿宋_GB2312" w:eastAsia="仿宋_GB2312" w:cs="仿宋_GB2312"/>
          <w:spacing w:val="-17"/>
          <w:sz w:val="32"/>
          <w:szCs w:val="32"/>
        </w:rPr>
        <w:t>负责全市建设工程勘察设计市场的监督管理。负责</w:t>
      </w:r>
      <w:r>
        <w:rPr>
          <w:rFonts w:hint="eastAsia" w:ascii="仿宋_GB2312" w:hAnsi="仿宋_GB2312" w:eastAsia="仿宋_GB2312" w:cs="仿宋_GB2312"/>
          <w:spacing w:val="-28"/>
          <w:sz w:val="32"/>
          <w:szCs w:val="32"/>
        </w:rPr>
        <w:t>全</w:t>
      </w:r>
      <w:r>
        <w:rPr>
          <w:rFonts w:hint="eastAsia" w:ascii="仿宋_GB2312" w:hAnsi="仿宋_GB2312" w:eastAsia="仿宋_GB2312" w:cs="仿宋_GB2312"/>
          <w:spacing w:val="-27"/>
          <w:sz w:val="32"/>
          <w:szCs w:val="32"/>
        </w:rPr>
        <w:t>市政</w:t>
      </w:r>
      <w:r>
        <w:rPr>
          <w:rFonts w:hint="eastAsia" w:ascii="仿宋_GB2312" w:hAnsi="仿宋_GB2312" w:eastAsia="仿宋_GB2312" w:cs="仿宋_GB2312"/>
          <w:spacing w:val="-18"/>
          <w:sz w:val="32"/>
          <w:szCs w:val="32"/>
        </w:rPr>
        <w:t>府投资项目的房屋建筑、市政基础设施工程初步设计方案及概算审查、概算变更管理，参与工程预算、结算管理;负责建设工程施工图设计文件审查备案;负责全市建设工程勘察设计行业的监督管理。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28" w:firstLineChars="200"/>
        <w:textAlignment w:val="auto"/>
        <w:rPr>
          <w:rFonts w:hint="eastAsia" w:ascii="仿宋_GB2312" w:hAnsi="仿宋_GB2312" w:eastAsia="仿宋_GB2312" w:cs="仿宋_GB2312"/>
          <w:spacing w:val="-22"/>
          <w:sz w:val="32"/>
          <w:szCs w:val="32"/>
        </w:rPr>
      </w:pPr>
      <w:r>
        <w:rPr>
          <w:rFonts w:hint="eastAsia" w:ascii="仿宋_GB2312" w:hAnsi="仿宋_GB2312" w:eastAsia="仿宋_GB2312" w:cs="仿宋_GB2312"/>
          <w:spacing w:val="-3"/>
          <w:sz w:val="32"/>
          <w:szCs w:val="32"/>
          <w:lang w:val="en-US" w:eastAsia="zh-CN"/>
        </w:rPr>
        <w:t>10、</w:t>
      </w:r>
      <w:r>
        <w:rPr>
          <w:rFonts w:hint="eastAsia" w:ascii="仿宋_GB2312" w:hAnsi="仿宋_GB2312" w:eastAsia="仿宋_GB2312" w:cs="仿宋_GB2312"/>
          <w:spacing w:val="-3"/>
          <w:sz w:val="32"/>
          <w:szCs w:val="32"/>
        </w:rPr>
        <w:t>负责村镇建设的指导和历史文化名城(镇、村)</w:t>
      </w:r>
      <w:r>
        <w:rPr>
          <w:rFonts w:hint="eastAsia" w:ascii="仿宋_GB2312" w:hAnsi="仿宋_GB2312" w:eastAsia="仿宋_GB2312" w:cs="仿宋_GB2312"/>
          <w:sz w:val="32"/>
          <w:szCs w:val="32"/>
        </w:rPr>
        <w:t>保</w:t>
      </w:r>
      <w:r>
        <w:rPr>
          <w:rFonts w:hint="eastAsia" w:ascii="仿宋_GB2312" w:hAnsi="仿宋_GB2312" w:eastAsia="仿宋_GB2312" w:cs="仿宋_GB2312"/>
          <w:spacing w:val="-33"/>
          <w:sz w:val="32"/>
          <w:szCs w:val="32"/>
        </w:rPr>
        <w:t>护</w:t>
      </w:r>
      <w:r>
        <w:rPr>
          <w:rFonts w:hint="eastAsia" w:ascii="仿宋_GB2312" w:hAnsi="仿宋_GB2312" w:eastAsia="仿宋_GB2312" w:cs="仿宋_GB2312"/>
          <w:spacing w:val="-19"/>
          <w:sz w:val="32"/>
          <w:szCs w:val="32"/>
        </w:rPr>
        <w:t>的监督管理。参与城乡一体化建设工作;组织编制历史文化</w:t>
      </w:r>
      <w:r>
        <w:rPr>
          <w:rFonts w:hint="eastAsia" w:ascii="仿宋_GB2312" w:hAnsi="仿宋_GB2312" w:eastAsia="仿宋_GB2312" w:cs="仿宋_GB2312"/>
          <w:spacing w:val="-23"/>
          <w:sz w:val="32"/>
          <w:szCs w:val="32"/>
        </w:rPr>
        <w:t>名</w:t>
      </w:r>
      <w:r>
        <w:rPr>
          <w:rFonts w:hint="eastAsia" w:ascii="仿宋_GB2312" w:hAnsi="仿宋_GB2312" w:eastAsia="仿宋_GB2312" w:cs="仿宋_GB2312"/>
          <w:spacing w:val="-12"/>
          <w:sz w:val="32"/>
          <w:szCs w:val="32"/>
        </w:rPr>
        <w:t>城(镇、村)专项规划、历史文化街区和历史风貌保护区专</w:t>
      </w:r>
      <w:r>
        <w:rPr>
          <w:rFonts w:hint="eastAsia" w:ascii="仿宋_GB2312" w:hAnsi="仿宋_GB2312" w:eastAsia="仿宋_GB2312" w:cs="仿宋_GB2312"/>
          <w:spacing w:val="-27"/>
          <w:sz w:val="32"/>
          <w:szCs w:val="32"/>
        </w:rPr>
        <w:t>项</w:t>
      </w:r>
      <w:r>
        <w:rPr>
          <w:rFonts w:hint="eastAsia" w:ascii="仿宋_GB2312" w:hAnsi="仿宋_GB2312" w:eastAsia="仿宋_GB2312" w:cs="仿宋_GB2312"/>
          <w:spacing w:val="-18"/>
          <w:sz w:val="32"/>
          <w:szCs w:val="32"/>
        </w:rPr>
        <w:t>规划，并监督实施;负责本市建设项目的档案收集、保管和</w:t>
      </w:r>
      <w:r>
        <w:rPr>
          <w:rFonts w:hint="eastAsia" w:ascii="仿宋_GB2312" w:hAnsi="仿宋_GB2312" w:eastAsia="仿宋_GB2312" w:cs="仿宋_GB2312"/>
          <w:spacing w:val="-36"/>
          <w:sz w:val="32"/>
          <w:szCs w:val="32"/>
        </w:rPr>
        <w:t>利</w:t>
      </w:r>
      <w:r>
        <w:rPr>
          <w:rFonts w:hint="eastAsia" w:ascii="仿宋_GB2312" w:hAnsi="仿宋_GB2312" w:eastAsia="仿宋_GB2312" w:cs="仿宋_GB2312"/>
          <w:spacing w:val="-19"/>
          <w:sz w:val="32"/>
          <w:szCs w:val="32"/>
        </w:rPr>
        <w:t>用</w:t>
      </w:r>
      <w:r>
        <w:rPr>
          <w:rFonts w:hint="eastAsia" w:ascii="仿宋_GB2312" w:hAnsi="仿宋_GB2312" w:eastAsia="仿宋_GB2312" w:cs="仿宋_GB2312"/>
          <w:spacing w:val="-18"/>
          <w:sz w:val="32"/>
          <w:szCs w:val="32"/>
        </w:rPr>
        <w:t>工作;负责指导全市农村危房改造和乡镇污水设施建设运</w:t>
      </w:r>
      <w:r>
        <w:rPr>
          <w:rFonts w:hint="eastAsia" w:ascii="仿宋_GB2312" w:hAnsi="仿宋_GB2312" w:eastAsia="仿宋_GB2312" w:cs="仿宋_GB2312"/>
          <w:spacing w:val="-25"/>
          <w:sz w:val="32"/>
          <w:szCs w:val="32"/>
        </w:rPr>
        <w:t>营</w:t>
      </w:r>
      <w:r>
        <w:rPr>
          <w:rFonts w:hint="eastAsia" w:ascii="仿宋_GB2312" w:hAnsi="仿宋_GB2312" w:eastAsia="仿宋_GB2312" w:cs="仿宋_GB2312"/>
          <w:spacing w:val="-22"/>
          <w:sz w:val="32"/>
          <w:szCs w:val="32"/>
        </w:rPr>
        <w:t>管理。</w:t>
      </w:r>
    </w:p>
    <w:p>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firstLine="544"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24"/>
          <w:sz w:val="32"/>
          <w:szCs w:val="32"/>
          <w:lang w:val="en-US" w:eastAsia="zh-CN"/>
        </w:rPr>
        <w:t>11、</w:t>
      </w:r>
      <w:r>
        <w:rPr>
          <w:rFonts w:hint="eastAsia" w:ascii="仿宋_GB2312" w:hAnsi="仿宋_GB2312" w:eastAsia="仿宋_GB2312" w:cs="仿宋_GB2312"/>
          <w:spacing w:val="-24"/>
          <w:sz w:val="32"/>
          <w:szCs w:val="32"/>
        </w:rPr>
        <w:t>负责城市供水、排水和海绵城市建设的监督管理</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19"/>
          <w:sz w:val="32"/>
          <w:szCs w:val="32"/>
        </w:rPr>
        <w:t>负责全市供水用水行业管理和污水处理监督管理;参与城市</w:t>
      </w:r>
      <w:r>
        <w:rPr>
          <w:rFonts w:hint="eastAsia" w:ascii="仿宋_GB2312" w:hAnsi="仿宋_GB2312" w:eastAsia="仿宋_GB2312" w:cs="仿宋_GB2312"/>
          <w:spacing w:val="-17"/>
          <w:sz w:val="32"/>
          <w:szCs w:val="32"/>
        </w:rPr>
        <w:t>给</w:t>
      </w:r>
      <w:r>
        <w:rPr>
          <w:rFonts w:hint="eastAsia" w:ascii="仿宋_GB2312" w:hAnsi="仿宋_GB2312" w:eastAsia="仿宋_GB2312" w:cs="仿宋_GB2312"/>
          <w:spacing w:val="-34"/>
          <w:sz w:val="32"/>
          <w:szCs w:val="32"/>
        </w:rPr>
        <w:t>水</w:t>
      </w:r>
      <w:r>
        <w:rPr>
          <w:rFonts w:hint="eastAsia" w:ascii="仿宋_GB2312" w:hAnsi="仿宋_GB2312" w:eastAsia="仿宋_GB2312" w:cs="仿宋_GB2312"/>
          <w:spacing w:val="-18"/>
          <w:sz w:val="32"/>
          <w:szCs w:val="32"/>
        </w:rPr>
        <w:t>用</w:t>
      </w:r>
      <w:r>
        <w:rPr>
          <w:rFonts w:hint="eastAsia" w:ascii="仿宋_GB2312" w:hAnsi="仿宋_GB2312" w:eastAsia="仿宋_GB2312" w:cs="仿宋_GB2312"/>
          <w:spacing w:val="-17"/>
          <w:sz w:val="32"/>
          <w:szCs w:val="32"/>
        </w:rPr>
        <w:t>水工程的论证、审查和验收;负责全市雨水管道、污水管</w:t>
      </w:r>
      <w:r>
        <w:rPr>
          <w:rFonts w:hint="eastAsia" w:ascii="仿宋_GB2312" w:hAnsi="仿宋_GB2312" w:eastAsia="仿宋_GB2312" w:cs="仿宋_GB2312"/>
          <w:spacing w:val="-38"/>
          <w:sz w:val="32"/>
          <w:szCs w:val="32"/>
        </w:rPr>
        <w:t>道</w:t>
      </w:r>
      <w:r>
        <w:rPr>
          <w:rFonts w:hint="eastAsia" w:ascii="仿宋_GB2312" w:hAnsi="仿宋_GB2312" w:eastAsia="仿宋_GB2312" w:cs="仿宋_GB2312"/>
          <w:spacing w:val="-20"/>
          <w:sz w:val="32"/>
          <w:szCs w:val="32"/>
        </w:rPr>
        <w:t>、泵站、污水处理设施的建设、管理、运维和调度工作;牵</w:t>
      </w:r>
      <w:r>
        <w:rPr>
          <w:rFonts w:hint="eastAsia" w:ascii="仿宋_GB2312" w:hAnsi="仿宋_GB2312" w:eastAsia="仿宋_GB2312" w:cs="仿宋_GB2312"/>
          <w:spacing w:val="-22"/>
          <w:sz w:val="32"/>
          <w:szCs w:val="32"/>
        </w:rPr>
        <w:t>头负责城市生活污水污染防治和黑臭水体治理工作;负责污</w:t>
      </w:r>
      <w:r>
        <w:rPr>
          <w:rFonts w:hint="eastAsia" w:ascii="仿宋_GB2312" w:hAnsi="仿宋_GB2312" w:eastAsia="仿宋_GB2312" w:cs="仿宋_GB2312"/>
          <w:spacing w:val="-17"/>
          <w:sz w:val="32"/>
          <w:szCs w:val="32"/>
        </w:rPr>
        <w:t>水</w:t>
      </w:r>
      <w:r>
        <w:rPr>
          <w:rFonts w:hint="eastAsia" w:ascii="仿宋_GB2312" w:hAnsi="仿宋_GB2312" w:eastAsia="仿宋_GB2312" w:cs="仿宋_GB2312"/>
          <w:spacing w:val="-27"/>
          <w:sz w:val="32"/>
          <w:szCs w:val="32"/>
        </w:rPr>
        <w:t>处</w:t>
      </w:r>
      <w:r>
        <w:rPr>
          <w:rFonts w:hint="eastAsia" w:ascii="仿宋_GB2312" w:hAnsi="仿宋_GB2312" w:eastAsia="仿宋_GB2312" w:cs="仿宋_GB2312"/>
          <w:spacing w:val="-21"/>
          <w:sz w:val="32"/>
          <w:szCs w:val="32"/>
        </w:rPr>
        <w:t>理特许经营管理;负责对排水户排放污水的水质等是否符合</w:t>
      </w:r>
      <w:r>
        <w:rPr>
          <w:rFonts w:hint="eastAsia" w:ascii="仿宋_GB2312" w:hAnsi="仿宋_GB2312" w:eastAsia="仿宋_GB2312" w:cs="仿宋_GB2312"/>
          <w:spacing w:val="-24"/>
          <w:sz w:val="32"/>
          <w:szCs w:val="32"/>
        </w:rPr>
        <w:t>规</w:t>
      </w:r>
      <w:r>
        <w:rPr>
          <w:rFonts w:hint="eastAsia" w:ascii="仿宋_GB2312" w:hAnsi="仿宋_GB2312" w:eastAsia="仿宋_GB2312" w:cs="仿宋_GB2312"/>
          <w:spacing w:val="-21"/>
          <w:sz w:val="32"/>
          <w:szCs w:val="32"/>
        </w:rPr>
        <w:t>定进行审查</w:t>
      </w:r>
      <w:r>
        <w:rPr>
          <w:rFonts w:hint="eastAsia" w:ascii="仿宋_GB2312" w:hAnsi="仿宋_GB2312" w:eastAsia="仿宋_GB2312" w:cs="仿宋_GB2312"/>
          <w:spacing w:val="-21"/>
          <w:sz w:val="32"/>
          <w:szCs w:val="32"/>
          <w:lang w:val="en-US" w:eastAsia="zh-CN"/>
        </w:rPr>
        <w:t>；</w:t>
      </w:r>
      <w:r>
        <w:rPr>
          <w:rFonts w:hint="eastAsia" w:ascii="仿宋_GB2312" w:hAnsi="仿宋_GB2312" w:eastAsia="仿宋_GB2312" w:cs="仿宋_GB2312"/>
          <w:spacing w:val="-21"/>
          <w:sz w:val="32"/>
          <w:szCs w:val="32"/>
        </w:rPr>
        <w:t>负责拟订和执行海绵城市建设设计标准的监督</w:t>
      </w:r>
      <w:r>
        <w:rPr>
          <w:rFonts w:hint="eastAsia" w:ascii="仿宋_GB2312" w:hAnsi="仿宋_GB2312" w:eastAsia="仿宋_GB2312" w:cs="仿宋_GB2312"/>
          <w:spacing w:val="-18"/>
          <w:sz w:val="32"/>
          <w:szCs w:val="32"/>
        </w:rPr>
        <w:t>管</w:t>
      </w:r>
      <w:r>
        <w:rPr>
          <w:rFonts w:hint="eastAsia" w:ascii="仿宋_GB2312" w:hAnsi="仿宋_GB2312" w:eastAsia="仿宋_GB2312" w:cs="仿宋_GB2312"/>
          <w:spacing w:val="-13"/>
          <w:sz w:val="32"/>
          <w:szCs w:val="32"/>
        </w:rPr>
        <w:t>理;负责海绵城市建设的监督指导。</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592" w:firstLineChars="200"/>
        <w:textAlignment w:val="auto"/>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spacing w:val="-12"/>
          <w:sz w:val="32"/>
          <w:szCs w:val="32"/>
          <w:lang w:val="en-US" w:eastAsia="zh-CN"/>
        </w:rPr>
        <w:t>12、</w:t>
      </w:r>
      <w:r>
        <w:rPr>
          <w:rFonts w:hint="eastAsia" w:ascii="仿宋_GB2312" w:hAnsi="仿宋_GB2312" w:eastAsia="仿宋_GB2312" w:cs="仿宋_GB2312"/>
          <w:spacing w:val="-12"/>
          <w:sz w:val="32"/>
          <w:szCs w:val="32"/>
        </w:rPr>
        <w:t>承办市委、市政府交办的其他事项</w:t>
      </w:r>
      <w:r>
        <w:rPr>
          <w:rFonts w:hint="eastAsia" w:ascii="仿宋_GB2312" w:hAnsi="仿宋_GB2312" w:eastAsia="仿宋_GB2312" w:cs="仿宋_GB2312"/>
          <w:spacing w:val="-12"/>
          <w:sz w:val="32"/>
          <w:szCs w:val="32"/>
          <w:lang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Chars="0" w:firstLine="643" w:firstLineChars="200"/>
        <w:textAlignment w:val="auto"/>
        <w:rPr>
          <w:rFonts w:hint="eastAsia"/>
          <w:color w:val="FF0000"/>
          <w:lang w:eastAsia="zh-CN"/>
        </w:rPr>
      </w:pPr>
      <w:r>
        <w:rPr>
          <w:rFonts w:hint="eastAsia" w:ascii="仿宋_GB2312" w:hAnsi="仿宋_GB2312" w:eastAsia="仿宋_GB2312" w:cs="仿宋_GB2312"/>
          <w:b/>
          <w:bCs/>
          <w:color w:val="auto"/>
          <w:kern w:val="0"/>
          <w:sz w:val="32"/>
          <w:szCs w:val="32"/>
          <w:lang w:val="en-US" w:eastAsia="zh-CN"/>
        </w:rPr>
        <w:t>（二）部门</w:t>
      </w:r>
      <w:r>
        <w:rPr>
          <w:rFonts w:hint="eastAsia" w:ascii="仿宋_GB2312" w:hAnsi="仿宋_GB2312" w:eastAsia="仿宋_GB2312" w:cs="仿宋_GB2312"/>
          <w:b/>
          <w:bCs/>
          <w:color w:val="auto"/>
          <w:kern w:val="0"/>
          <w:sz w:val="32"/>
          <w:szCs w:val="32"/>
        </w:rPr>
        <w:t>机构设置</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0"/>
          <w:sz w:val="32"/>
          <w:szCs w:val="32"/>
          <w:lang w:val="en-US" w:eastAsia="zh-CN"/>
        </w:rPr>
        <w:t>本部门</w:t>
      </w:r>
      <w:r>
        <w:rPr>
          <w:rFonts w:hint="eastAsia" w:ascii="仿宋_GB2312" w:hAnsi="仿宋_GB2312" w:eastAsia="仿宋_GB2312" w:cs="仿宋_GB2312"/>
          <w:color w:val="auto"/>
          <w:kern w:val="0"/>
          <w:sz w:val="32"/>
          <w:szCs w:val="32"/>
          <w:lang w:val="en-US" w:eastAsia="zh-CN"/>
        </w:rPr>
        <w:t>编制人数411人，实有在职人数404人。</w:t>
      </w:r>
      <w:r>
        <w:rPr>
          <w:rFonts w:hint="eastAsia" w:ascii="仿宋_GB2312" w:hAnsi="仿宋_GB2312" w:eastAsia="仿宋_GB2312" w:cs="仿宋_GB2312"/>
          <w:color w:val="000000"/>
          <w:sz w:val="32"/>
          <w:szCs w:val="32"/>
          <w:highlight w:val="white"/>
          <w:lang w:val="zh-CN"/>
        </w:rPr>
        <w:t>局</w:t>
      </w:r>
      <w:r>
        <w:rPr>
          <w:rFonts w:hint="eastAsia" w:ascii="仿宋_GB2312" w:hAnsi="仿宋_GB2312" w:eastAsia="仿宋_GB2312" w:cs="仿宋_GB2312"/>
          <w:color w:val="000000"/>
          <w:sz w:val="32"/>
          <w:szCs w:val="32"/>
          <w:highlight w:val="white"/>
          <w:lang w:val="en-US" w:eastAsia="zh-CN"/>
        </w:rPr>
        <w:t>属</w:t>
      </w:r>
      <w:r>
        <w:rPr>
          <w:rFonts w:hint="eastAsia" w:ascii="仿宋_GB2312" w:hAnsi="仿宋_GB2312" w:eastAsia="仿宋_GB2312" w:cs="仿宋_GB2312"/>
          <w:color w:val="000000"/>
          <w:sz w:val="32"/>
          <w:szCs w:val="32"/>
          <w:highlight w:val="white"/>
          <w:lang w:val="zh-CN"/>
        </w:rPr>
        <w:t>单位包括：岳阳市城乡建设事务中心、岳阳市建设工程质量安全监督站、岳阳市住房保障服务中心</w:t>
      </w:r>
      <w:r>
        <w:rPr>
          <w:rFonts w:hint="eastAsia" w:ascii="仿宋_GB2312" w:hAnsi="仿宋_GB2312" w:eastAsia="仿宋_GB2312" w:cs="仿宋_GB2312"/>
          <w:color w:val="000000"/>
          <w:sz w:val="32"/>
          <w:szCs w:val="32"/>
          <w:highlight w:val="white"/>
          <w:lang w:val="zh-CN" w:eastAsia="zh-CN"/>
        </w:rPr>
        <w:t>、</w:t>
      </w:r>
      <w:r>
        <w:rPr>
          <w:rFonts w:hint="eastAsia" w:ascii="仿宋_GB2312" w:hAnsi="仿宋_GB2312" w:eastAsia="仿宋_GB2312" w:cs="仿宋_GB2312"/>
          <w:color w:val="000000"/>
          <w:sz w:val="32"/>
          <w:szCs w:val="32"/>
          <w:highlight w:val="white"/>
          <w:lang w:val="zh-CN"/>
        </w:rPr>
        <w:t>岳阳市城市建设档案馆、岳阳市房地产交易中心、岳阳市房地产市场服务中心、岳阳市绿色建筑产业发展服务中心、岳阳市污水处理监督中心</w:t>
      </w:r>
      <w:r>
        <w:rPr>
          <w:rFonts w:hint="eastAsia" w:ascii="仿宋_GB2312" w:hAnsi="仿宋_GB2312" w:eastAsia="仿宋_GB2312" w:cs="仿宋_GB2312"/>
          <w:color w:val="auto"/>
          <w:kern w:val="0"/>
          <w:sz w:val="32"/>
          <w:szCs w:val="32"/>
          <w:lang w:val="en-US" w:eastAsia="zh-CN"/>
        </w:rPr>
        <w:t>8个管理单位。</w:t>
      </w:r>
      <w:r>
        <w:rPr>
          <w:rFonts w:hint="eastAsia" w:ascii="仿宋_GB2312" w:hAnsi="仿宋_GB2312" w:eastAsia="仿宋_GB2312" w:cs="仿宋_GB2312"/>
          <w:color w:val="000000"/>
          <w:sz w:val="32"/>
          <w:szCs w:val="32"/>
          <w:highlight w:val="white"/>
          <w:lang w:val="en-US" w:eastAsia="zh-CN"/>
        </w:rPr>
        <w:t>局机关</w:t>
      </w:r>
      <w:r>
        <w:rPr>
          <w:rFonts w:hint="eastAsia" w:ascii="仿宋_GB2312" w:hAnsi="仿宋_GB2312" w:eastAsia="仿宋_GB2312" w:cs="仿宋_GB2312"/>
          <w:color w:val="000000"/>
          <w:sz w:val="32"/>
          <w:szCs w:val="32"/>
          <w:highlight w:val="white"/>
          <w:lang w:val="zh-CN"/>
        </w:rPr>
        <w:t>内设</w:t>
      </w:r>
      <w:r>
        <w:rPr>
          <w:rFonts w:hint="eastAsia" w:ascii="仿宋_GB2312" w:hAnsi="仿宋_GB2312" w:eastAsia="仿宋_GB2312" w:cs="仿宋_GB2312"/>
          <w:color w:val="auto"/>
          <w:kern w:val="0"/>
          <w:sz w:val="32"/>
          <w:szCs w:val="32"/>
        </w:rPr>
        <w:t>办</w:t>
      </w:r>
      <w:r>
        <w:rPr>
          <w:rFonts w:hint="eastAsia" w:ascii="仿宋_GB2312" w:hAnsi="仿宋_GB2312" w:eastAsia="仿宋_GB2312" w:cs="仿宋_GB2312"/>
          <w:kern w:val="0"/>
          <w:sz w:val="32"/>
          <w:szCs w:val="32"/>
        </w:rPr>
        <w:t>公室、</w:t>
      </w:r>
      <w:r>
        <w:rPr>
          <w:rFonts w:hint="eastAsia" w:ascii="仿宋_GB2312" w:hAnsi="仿宋_GB2312" w:eastAsia="仿宋_GB2312" w:cs="仿宋_GB2312"/>
          <w:spacing w:val="4"/>
          <w:sz w:val="32"/>
          <w:szCs w:val="32"/>
        </w:rPr>
        <w:t>综合调研室(新型城镇化办公室)</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9"/>
          <w:sz w:val="32"/>
          <w:szCs w:val="32"/>
        </w:rPr>
        <w:t>行政审批科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8"/>
          <w:sz w:val="32"/>
          <w:szCs w:val="32"/>
        </w:rPr>
        <w:t>住房保障科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16"/>
          <w:sz w:val="32"/>
          <w:szCs w:val="32"/>
        </w:rPr>
        <w:t>房地产市场监管科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25"/>
          <w:sz w:val="32"/>
          <w:szCs w:val="32"/>
        </w:rPr>
        <w:t>房屋和物业管理科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18"/>
          <w:sz w:val="32"/>
          <w:szCs w:val="32"/>
        </w:rPr>
        <w:t>勘察设计管理科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18"/>
          <w:sz w:val="32"/>
          <w:szCs w:val="32"/>
        </w:rPr>
        <w:t>建设工程招标投标管理办公室</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pacing w:val="-10"/>
          <w:sz w:val="32"/>
          <w:szCs w:val="32"/>
        </w:rPr>
        <w:t>建设市场管理科(岳阳市人民政府清理拖欠工程款</w:t>
      </w:r>
      <w:r>
        <w:rPr>
          <w:rFonts w:hint="eastAsia" w:ascii="仿宋_GB2312" w:hAnsi="仿宋_GB2312" w:eastAsia="仿宋_GB2312" w:cs="仿宋_GB2312"/>
          <w:spacing w:val="-23"/>
          <w:sz w:val="32"/>
          <w:szCs w:val="32"/>
        </w:rPr>
        <w:t>领</w:t>
      </w:r>
      <w:r>
        <w:rPr>
          <w:rFonts w:hint="eastAsia" w:ascii="仿宋_GB2312" w:hAnsi="仿宋_GB2312" w:eastAsia="仿宋_GB2312" w:cs="仿宋_GB2312"/>
          <w:spacing w:val="-18"/>
          <w:sz w:val="32"/>
          <w:szCs w:val="32"/>
        </w:rPr>
        <w:t>导小组办公室)</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16"/>
          <w:sz w:val="32"/>
          <w:szCs w:val="32"/>
        </w:rPr>
        <w:t>信息和信用监管科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19"/>
          <w:sz w:val="32"/>
          <w:szCs w:val="32"/>
        </w:rPr>
        <w:t>建筑节能与科技科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3"/>
          <w:sz w:val="32"/>
          <w:szCs w:val="32"/>
        </w:rPr>
        <w:t>质量安全管理科</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pacing w:val="-15"/>
          <w:sz w:val="32"/>
          <w:szCs w:val="32"/>
        </w:rPr>
        <w:t>建设工程消防管理科</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pacing w:val="-11"/>
          <w:sz w:val="32"/>
          <w:szCs w:val="32"/>
        </w:rPr>
        <w:t>村镇建设科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8"/>
          <w:sz w:val="32"/>
          <w:szCs w:val="32"/>
        </w:rPr>
        <w:t>城市建设科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7"/>
          <w:sz w:val="32"/>
          <w:szCs w:val="32"/>
        </w:rPr>
        <w:t>历史文化名城保护管理科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5"/>
          <w:sz w:val="32"/>
          <w:szCs w:val="32"/>
        </w:rPr>
        <w:t>供排水管理科(海绵城市建设办公室)</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27"/>
          <w:sz w:val="32"/>
          <w:szCs w:val="32"/>
        </w:rPr>
        <w:t>政策法规科</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pacing w:val="-28"/>
          <w:sz w:val="32"/>
          <w:szCs w:val="32"/>
        </w:rPr>
        <w:t>工程技术科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33"/>
          <w:sz w:val="32"/>
          <w:szCs w:val="32"/>
        </w:rPr>
        <w:t>信访科</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25"/>
          <w:sz w:val="32"/>
          <w:szCs w:val="32"/>
        </w:rPr>
        <w:t>人事科</w:t>
      </w:r>
      <w:r>
        <w:rPr>
          <w:rFonts w:hint="eastAsia" w:ascii="仿宋_GB2312" w:hAnsi="仿宋_GB2312" w:eastAsia="仿宋_GB2312" w:cs="仿宋_GB2312"/>
          <w:spacing w:val="-25"/>
          <w:sz w:val="32"/>
          <w:szCs w:val="32"/>
          <w:lang w:eastAsia="zh-CN"/>
        </w:rPr>
        <w:t>、计财审计科、</w:t>
      </w:r>
      <w:r>
        <w:rPr>
          <w:rFonts w:hint="eastAsia" w:ascii="仿宋_GB2312" w:hAnsi="仿宋_GB2312" w:eastAsia="仿宋_GB2312" w:cs="仿宋_GB2312"/>
          <w:spacing w:val="-26"/>
          <w:sz w:val="32"/>
          <w:szCs w:val="32"/>
        </w:rPr>
        <w:t>机</w:t>
      </w:r>
      <w:r>
        <w:rPr>
          <w:rFonts w:hint="eastAsia" w:ascii="仿宋_GB2312" w:hAnsi="仿宋_GB2312" w:eastAsia="仿宋_GB2312" w:cs="仿宋_GB2312"/>
          <w:spacing w:val="-14"/>
          <w:sz w:val="32"/>
          <w:szCs w:val="32"/>
        </w:rPr>
        <w:t>关</w:t>
      </w:r>
      <w:r>
        <w:rPr>
          <w:rFonts w:hint="eastAsia" w:ascii="仿宋_GB2312" w:hAnsi="仿宋_GB2312" w:eastAsia="仿宋_GB2312" w:cs="仿宋_GB2312"/>
          <w:spacing w:val="-13"/>
          <w:sz w:val="32"/>
          <w:szCs w:val="32"/>
        </w:rPr>
        <w:t>党委(纪委)</w:t>
      </w:r>
      <w:r>
        <w:rPr>
          <w:rFonts w:hint="eastAsia" w:ascii="仿宋_GB2312" w:hAnsi="仿宋_GB2312" w:eastAsia="仿宋_GB2312" w:cs="仿宋_GB2312"/>
          <w:spacing w:val="-13"/>
          <w:sz w:val="32"/>
          <w:szCs w:val="32"/>
          <w:lang w:eastAsia="zh-CN"/>
        </w:rPr>
        <w:t>、</w:t>
      </w:r>
      <w:r>
        <w:rPr>
          <w:rFonts w:hint="eastAsia" w:ascii="仿宋_GB2312" w:hAnsi="仿宋_GB2312" w:eastAsia="仿宋_GB2312" w:cs="仿宋_GB2312"/>
          <w:spacing w:val="-21"/>
          <w:sz w:val="32"/>
          <w:szCs w:val="32"/>
        </w:rPr>
        <w:t>离退休人员管理服务科</w:t>
      </w:r>
      <w:r>
        <w:rPr>
          <w:rFonts w:hint="eastAsia" w:ascii="仿宋_GB2312" w:hAnsi="仿宋_GB2312" w:eastAsia="仿宋_GB2312" w:cs="仿宋_GB2312"/>
          <w:color w:val="auto"/>
          <w:sz w:val="32"/>
          <w:szCs w:val="32"/>
          <w:highlight w:val="white"/>
          <w:lang w:val="en-US" w:eastAsia="zh-CN"/>
        </w:rPr>
        <w:t>24个科室。</w:t>
      </w:r>
    </w:p>
    <w:p>
      <w:pPr>
        <w:pStyle w:val="5"/>
        <w:ind w:left="0" w:leftChars="0" w:firstLine="0" w:firstLineChars="0"/>
        <w:rPr>
          <w:rFonts w:hint="default"/>
        </w:rPr>
      </w:pPr>
    </w:p>
    <w:p>
      <w:pPr>
        <w:rPr>
          <w:rFonts w:hint="default"/>
        </w:rPr>
      </w:pPr>
    </w:p>
    <w:p>
      <w:pPr>
        <w:pStyle w:val="19"/>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pPr>
        <w:pStyle w:val="19"/>
        <w:keepNext w:val="0"/>
        <w:keepLines w:val="0"/>
        <w:pageBreakBefore w:val="0"/>
        <w:widowControl w:val="0"/>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25</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eastAsia="zh-CN"/>
        </w:rPr>
        <w:t>度</w:t>
      </w:r>
      <w:r>
        <w:rPr>
          <w:rFonts w:hint="eastAsia" w:ascii="仿宋_GB2312" w:hAnsi="仿宋_GB2312" w:eastAsia="仿宋_GB2312" w:cs="仿宋_GB2312"/>
          <w:bCs/>
          <w:sz w:val="32"/>
          <w:szCs w:val="32"/>
          <w:lang w:val="en-US" w:eastAsia="zh-CN"/>
        </w:rPr>
        <w:t>,本部门</w:t>
      </w:r>
      <w:r>
        <w:rPr>
          <w:rFonts w:hint="eastAsia" w:ascii="仿宋_GB2312" w:hAnsi="仿宋_GB2312" w:eastAsia="仿宋_GB2312" w:cs="仿宋_GB2312"/>
          <w:bCs/>
          <w:sz w:val="32"/>
          <w:szCs w:val="32"/>
        </w:rPr>
        <w:t>基本支出</w:t>
      </w:r>
      <w:r>
        <w:rPr>
          <w:rFonts w:hint="eastAsia" w:ascii="仿宋_GB2312" w:hAnsi="仿宋_GB2312" w:eastAsia="仿宋_GB2312" w:cs="仿宋_GB2312"/>
          <w:bCs/>
          <w:sz w:val="32"/>
          <w:szCs w:val="32"/>
          <w:lang w:val="en-US" w:eastAsia="zh-CN"/>
        </w:rPr>
        <w:t>总金额为8778.82</w:t>
      </w:r>
      <w:r>
        <w:rPr>
          <w:rFonts w:hint="eastAsia" w:ascii="仿宋_GB2312" w:hAnsi="仿宋_GB2312" w:eastAsia="仿宋_GB2312" w:cs="仿宋_GB2312"/>
          <w:bCs/>
          <w:sz w:val="32"/>
          <w:szCs w:val="32"/>
        </w:rPr>
        <w:t>万元，其中人员经费支出</w:t>
      </w:r>
      <w:r>
        <w:rPr>
          <w:rFonts w:hint="eastAsia" w:ascii="仿宋_GB2312" w:hAnsi="仿宋_GB2312" w:eastAsia="仿宋_GB2312" w:cs="仿宋_GB2312"/>
          <w:bCs/>
          <w:sz w:val="32"/>
          <w:szCs w:val="32"/>
          <w:lang w:val="en-US" w:eastAsia="zh-CN"/>
        </w:rPr>
        <w:t>8058.90</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主要用于</w:t>
      </w:r>
      <w:r>
        <w:rPr>
          <w:rFonts w:hint="eastAsia" w:ascii="仿宋_GB2312" w:hAnsi="仿宋_GB2312" w:eastAsia="仿宋_GB2312" w:cs="仿宋_GB2312"/>
          <w:bCs/>
          <w:sz w:val="32"/>
          <w:szCs w:val="32"/>
          <w:highlight w:val="none"/>
          <w:lang w:val="en-US" w:eastAsia="zh-CN"/>
        </w:rPr>
        <w:t>职工工资、津补贴、绩效工资及社会保障缴费等支出。</w:t>
      </w:r>
      <w:r>
        <w:rPr>
          <w:rFonts w:hint="eastAsia" w:ascii="仿宋_GB2312" w:hAnsi="仿宋_GB2312" w:eastAsia="仿宋_GB2312" w:cs="仿宋_GB2312"/>
          <w:bCs/>
          <w:sz w:val="32"/>
          <w:szCs w:val="32"/>
        </w:rPr>
        <w:t>公用</w:t>
      </w:r>
      <w:r>
        <w:rPr>
          <w:rFonts w:hint="eastAsia" w:ascii="仿宋_GB2312" w:hAnsi="仿宋_GB2312" w:eastAsia="仿宋_GB2312" w:cs="仿宋_GB2312"/>
          <w:bCs/>
          <w:sz w:val="32"/>
          <w:szCs w:val="32"/>
          <w:lang w:val="en-US" w:eastAsia="zh-CN"/>
        </w:rPr>
        <w:t>经费</w:t>
      </w:r>
      <w:r>
        <w:rPr>
          <w:rFonts w:hint="eastAsia" w:ascii="仿宋_GB2312" w:hAnsi="仿宋_GB2312" w:eastAsia="仿宋_GB2312" w:cs="仿宋_GB2312"/>
          <w:bCs/>
          <w:sz w:val="32"/>
          <w:szCs w:val="32"/>
        </w:rPr>
        <w:t>支出</w:t>
      </w:r>
      <w:r>
        <w:rPr>
          <w:rFonts w:hint="eastAsia" w:ascii="仿宋_GB2312" w:hAnsi="仿宋_GB2312" w:eastAsia="仿宋_GB2312" w:cs="仿宋_GB2312"/>
          <w:bCs/>
          <w:sz w:val="32"/>
          <w:szCs w:val="32"/>
          <w:lang w:val="en-US" w:eastAsia="zh-CN"/>
        </w:rPr>
        <w:t>719.92</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主要用于办公费、印刷费、水电费、邮电费、取暖费、物业费、差旅费、维修（护）费、租赁费、会议费、培训费、公务接待费、劳务费、委托业务费、工会经费、公务用车运行费、其他交通费用、其他商品和服务支出等保障单位运转费用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_GB2312" w:hAnsi="仿宋_GB2312" w:eastAsia="仿宋_GB2312" w:cs="仿宋_GB2312"/>
          <w:bCs/>
          <w:sz w:val="32"/>
          <w:szCs w:val="32"/>
          <w:lang w:val="en-US" w:eastAsia="zh-CN"/>
        </w:rPr>
        <w:t>2025</w:t>
      </w:r>
      <w:r>
        <w:rPr>
          <w:rFonts w:hint="eastAsia" w:ascii="仿宋_GB2312" w:hAnsi="仿宋_GB2312" w:eastAsia="仿宋_GB2312" w:cs="仿宋_GB2312"/>
          <w:bCs/>
          <w:sz w:val="32"/>
          <w:szCs w:val="32"/>
        </w:rPr>
        <w:t>年度</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公务接待费</w:t>
      </w:r>
      <w:r>
        <w:rPr>
          <w:rFonts w:hint="eastAsia" w:ascii="仿宋_GB2312" w:hAnsi="仿宋_GB2312" w:eastAsia="仿宋_GB2312" w:cs="仿宋_GB2312"/>
          <w:bCs/>
          <w:sz w:val="32"/>
          <w:szCs w:val="32"/>
          <w:lang w:eastAsia="zh-CN"/>
        </w:rPr>
        <w:t>预算</w:t>
      </w:r>
      <w:r>
        <w:rPr>
          <w:rFonts w:hint="eastAsia" w:ascii="仿宋_GB2312" w:hAnsi="仿宋_GB2312" w:eastAsia="仿宋_GB2312" w:cs="仿宋_GB2312"/>
          <w:bCs/>
          <w:sz w:val="32"/>
          <w:szCs w:val="32"/>
          <w:lang w:val="en-US" w:eastAsia="zh-CN"/>
        </w:rPr>
        <w:t>金额为1.5万元，实际</w:t>
      </w:r>
      <w:r>
        <w:rPr>
          <w:rFonts w:hint="eastAsia" w:ascii="仿宋_GB2312" w:hAnsi="仿宋_GB2312" w:eastAsia="仿宋_GB2312" w:cs="仿宋_GB2312"/>
          <w:bCs/>
          <w:sz w:val="32"/>
          <w:szCs w:val="32"/>
        </w:rPr>
        <w:t>支出</w:t>
      </w:r>
      <w:r>
        <w:rPr>
          <w:rFonts w:hint="eastAsia" w:ascii="仿宋_GB2312" w:hAnsi="仿宋_GB2312" w:eastAsia="仿宋_GB2312" w:cs="仿宋_GB2312"/>
          <w:bCs/>
          <w:sz w:val="32"/>
          <w:szCs w:val="32"/>
          <w:lang w:val="en-US" w:eastAsia="zh-CN"/>
        </w:rPr>
        <w:t>金额为0</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公务用车购置及</w:t>
      </w:r>
      <w:r>
        <w:rPr>
          <w:rFonts w:hint="eastAsia" w:ascii="仿宋_GB2312" w:hAnsi="仿宋_GB2312" w:eastAsia="仿宋_GB2312" w:cs="仿宋_GB2312"/>
          <w:bCs/>
          <w:sz w:val="32"/>
          <w:szCs w:val="32"/>
        </w:rPr>
        <w:t>公务用车运行维护费支出</w:t>
      </w:r>
      <w:r>
        <w:rPr>
          <w:rFonts w:hint="eastAsia" w:ascii="仿宋_GB2312" w:hAnsi="仿宋_GB2312" w:eastAsia="仿宋_GB2312" w:cs="仿宋_GB2312"/>
          <w:bCs/>
          <w:sz w:val="32"/>
          <w:szCs w:val="32"/>
          <w:lang w:eastAsia="zh-CN"/>
        </w:rPr>
        <w:t>预算</w:t>
      </w:r>
      <w:r>
        <w:rPr>
          <w:rFonts w:hint="eastAsia" w:ascii="仿宋_GB2312" w:hAnsi="仿宋_GB2312" w:eastAsia="仿宋_GB2312" w:cs="仿宋_GB2312"/>
          <w:bCs/>
          <w:sz w:val="32"/>
          <w:szCs w:val="32"/>
          <w:lang w:val="en-US" w:eastAsia="zh-CN"/>
        </w:rPr>
        <w:t>金额为9万元（其中公务用车购置预算0万元），公务用车购置及</w:t>
      </w:r>
      <w:r>
        <w:rPr>
          <w:rFonts w:hint="eastAsia" w:ascii="仿宋_GB2312" w:hAnsi="仿宋_GB2312" w:eastAsia="仿宋_GB2312" w:cs="仿宋_GB2312"/>
          <w:bCs/>
          <w:sz w:val="32"/>
          <w:szCs w:val="32"/>
        </w:rPr>
        <w:t>公务用车运行维护费</w:t>
      </w:r>
      <w:r>
        <w:rPr>
          <w:rFonts w:hint="eastAsia" w:ascii="仿宋_GB2312" w:hAnsi="仿宋_GB2312" w:eastAsia="仿宋_GB2312" w:cs="仿宋_GB2312"/>
          <w:bCs/>
          <w:sz w:val="32"/>
          <w:szCs w:val="32"/>
          <w:lang w:val="en-US" w:eastAsia="zh-CN"/>
        </w:rPr>
        <w:t>实际支出金额为8.25</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val="en-US" w:eastAsia="zh-CN"/>
        </w:rPr>
        <w:t>（其中公务用车购置决算0万元）</w:t>
      </w:r>
      <w:r>
        <w:rPr>
          <w:rFonts w:hint="eastAsia" w:ascii="仿宋_GB2312" w:hAnsi="仿宋_GB2312" w:eastAsia="仿宋_GB2312" w:cs="仿宋_GB2312"/>
          <w:bCs/>
          <w:sz w:val="32"/>
          <w:szCs w:val="32"/>
          <w:lang w:eastAsia="zh-CN"/>
        </w:rPr>
        <w:t>，因</w:t>
      </w:r>
      <w:r>
        <w:rPr>
          <w:rFonts w:hint="eastAsia" w:ascii="仿宋_GB2312" w:hAnsi="仿宋_GB2312" w:eastAsia="仿宋_GB2312" w:cs="仿宋_GB2312"/>
          <w:bCs/>
          <w:sz w:val="32"/>
          <w:szCs w:val="32"/>
        </w:rPr>
        <w:t>公出国</w:t>
      </w:r>
      <w:r>
        <w:rPr>
          <w:rFonts w:hint="eastAsia" w:ascii="仿宋_GB2312" w:hAnsi="仿宋_GB2312" w:eastAsia="仿宋_GB2312" w:cs="仿宋_GB2312"/>
          <w:bCs/>
          <w:sz w:val="32"/>
          <w:szCs w:val="32"/>
          <w:lang w:eastAsia="zh-CN"/>
        </w:rPr>
        <w:t>费用</w:t>
      </w:r>
      <w:r>
        <w:rPr>
          <w:rFonts w:hint="eastAsia" w:ascii="仿宋_GB2312" w:hAnsi="仿宋_GB2312" w:eastAsia="仿宋_GB2312" w:cs="仿宋_GB2312"/>
          <w:bCs/>
          <w:sz w:val="32"/>
          <w:szCs w:val="32"/>
          <w:lang w:val="en-US" w:eastAsia="zh-CN"/>
        </w:rPr>
        <w:t>预为0万元，实际</w:t>
      </w:r>
      <w:r>
        <w:rPr>
          <w:rFonts w:hint="eastAsia" w:ascii="仿宋_GB2312" w:hAnsi="仿宋_GB2312" w:eastAsia="仿宋_GB2312" w:cs="仿宋_GB2312"/>
          <w:bCs/>
          <w:sz w:val="32"/>
          <w:szCs w:val="32"/>
        </w:rPr>
        <w:t>支出</w:t>
      </w:r>
      <w:r>
        <w:rPr>
          <w:rFonts w:hint="eastAsia" w:ascii="仿宋_GB2312" w:hAnsi="仿宋_GB2312" w:eastAsia="仿宋_GB2312" w:cs="仿宋_GB2312"/>
          <w:bCs/>
          <w:sz w:val="32"/>
          <w:szCs w:val="32"/>
          <w:lang w:val="en-US" w:eastAsia="zh-CN"/>
        </w:rPr>
        <w:t>金额为0</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eastAsia="zh-CN"/>
        </w:rPr>
        <w:t>“三公经费”支出</w:t>
      </w:r>
      <w:r>
        <w:rPr>
          <w:rFonts w:hint="eastAsia" w:ascii="仿宋_GB2312" w:hAnsi="仿宋_GB2312" w:eastAsia="仿宋_GB2312" w:cs="仿宋_GB2312"/>
          <w:bCs/>
          <w:sz w:val="32"/>
          <w:szCs w:val="32"/>
          <w:lang w:val="en-US" w:eastAsia="zh-CN"/>
        </w:rPr>
        <w:t>总金额为8.25万元，</w:t>
      </w:r>
      <w:r>
        <w:rPr>
          <w:rFonts w:hint="eastAsia" w:ascii="仿宋_GB2312" w:hAnsi="仿宋_GB2312" w:eastAsia="仿宋_GB2312" w:cs="仿宋_GB2312"/>
          <w:bCs/>
          <w:sz w:val="32"/>
          <w:szCs w:val="32"/>
          <w:lang w:eastAsia="zh-CN"/>
        </w:rPr>
        <w:t>控制在年初预算</w:t>
      </w:r>
      <w:r>
        <w:rPr>
          <w:rFonts w:hint="eastAsia" w:ascii="仿宋_GB2312" w:hAnsi="仿宋_GB2312" w:eastAsia="仿宋_GB2312" w:cs="仿宋_GB2312"/>
          <w:bCs/>
          <w:sz w:val="32"/>
          <w:szCs w:val="32"/>
          <w:lang w:val="en-US" w:eastAsia="zh-CN"/>
        </w:rPr>
        <w:t>10.5万元</w:t>
      </w:r>
      <w:r>
        <w:rPr>
          <w:rFonts w:hint="eastAsia" w:ascii="仿宋_GB2312" w:hAnsi="仿宋_GB2312" w:eastAsia="仿宋_GB2312" w:cs="仿宋_GB2312"/>
          <w:bCs/>
          <w:sz w:val="32"/>
          <w:szCs w:val="32"/>
          <w:lang w:eastAsia="zh-CN"/>
        </w:rPr>
        <w:t>之内</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支出明细如下（单位：万元）：</w:t>
      </w:r>
    </w:p>
    <w:tbl>
      <w:tblPr>
        <w:tblStyle w:val="14"/>
        <w:tblW w:w="86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69"/>
        <w:gridCol w:w="756"/>
        <w:gridCol w:w="787"/>
        <w:gridCol w:w="888"/>
        <w:gridCol w:w="929"/>
        <w:gridCol w:w="855"/>
        <w:gridCol w:w="915"/>
        <w:gridCol w:w="795"/>
        <w:gridCol w:w="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1869"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单位名称</w:t>
            </w:r>
          </w:p>
        </w:tc>
        <w:tc>
          <w:tcPr>
            <w:tcW w:w="1543"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公车运行维护</w:t>
            </w:r>
          </w:p>
        </w:tc>
        <w:tc>
          <w:tcPr>
            <w:tcW w:w="1817" w:type="dxa"/>
            <w:gridSpan w:val="2"/>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公车购置 </w:t>
            </w:r>
          </w:p>
        </w:tc>
        <w:tc>
          <w:tcPr>
            <w:tcW w:w="177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公务接待</w:t>
            </w:r>
          </w:p>
        </w:tc>
        <w:tc>
          <w:tcPr>
            <w:tcW w:w="1605"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出国经费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iCs w:val="0"/>
                <w:color w:val="000000"/>
                <w:sz w:val="20"/>
                <w:szCs w:val="20"/>
                <w:u w:val="none"/>
              </w:rPr>
            </w:pP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2025年预算数</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2025年决算数</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2025年预算数</w:t>
            </w:r>
          </w:p>
        </w:tc>
        <w:tc>
          <w:tcPr>
            <w:tcW w:w="929"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2025年决算数</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2025年预算数</w:t>
            </w:r>
          </w:p>
        </w:tc>
        <w:tc>
          <w:tcPr>
            <w:tcW w:w="9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2025年决算数</w:t>
            </w:r>
          </w:p>
        </w:tc>
        <w:tc>
          <w:tcPr>
            <w:tcW w:w="7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2025年预算数</w:t>
            </w:r>
          </w:p>
        </w:tc>
        <w:tc>
          <w:tcPr>
            <w:tcW w:w="8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2025年决算数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岳阳市住房和城乡建设局本级</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sz w:val="20"/>
                <w:szCs w:val="20"/>
                <w:highlight w:val="none"/>
                <w:lang w:val="en-US" w:eastAsia="zh-CN"/>
              </w:rPr>
              <w:t>3</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sz w:val="20"/>
                <w:szCs w:val="20"/>
                <w:highlight w:val="none"/>
                <w:lang w:val="en-US" w:eastAsia="zh-CN"/>
              </w:rPr>
              <w:t>3</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sz w:val="20"/>
                <w:szCs w:val="20"/>
                <w:highlight w:val="none"/>
                <w:lang w:val="en-US" w:eastAsia="zh-CN"/>
              </w:rPr>
              <w:t>1.5</w:t>
            </w:r>
          </w:p>
        </w:tc>
        <w:tc>
          <w:tcPr>
            <w:tcW w:w="91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auto"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岳阳市城市建设档案馆</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岳阳市城乡建设事务中心</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岳阳市房地产交易中心</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default"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岳阳市房地产市场服务中心</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岳阳市建设工程质量安全监督站</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岳阳市绿色建筑产业发展服务中心</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岳阳市污水处理监督中心</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3</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2.25</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岳阳市住房保障服务中心</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3</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3</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合  计</w:t>
            </w:r>
          </w:p>
        </w:tc>
        <w:tc>
          <w:tcPr>
            <w:tcW w:w="7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9</w:t>
            </w:r>
          </w:p>
        </w:tc>
        <w:tc>
          <w:tcPr>
            <w:tcW w:w="7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8.25</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92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8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0</w:t>
            </w:r>
          </w:p>
        </w:tc>
      </w:tr>
    </w:tbl>
    <w:p>
      <w:pPr>
        <w:pStyle w:val="19"/>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both"/>
        <w:textAlignment w:val="auto"/>
        <w:rPr>
          <w:rFonts w:hint="default" w:ascii="Times New Roman" w:hAnsi="Times New Roman" w:eastAsia="楷体_GB2312" w:cs="Times New Roman"/>
          <w:b/>
          <w:sz w:val="32"/>
          <w:szCs w:val="32"/>
          <w:highlight w:val="none"/>
        </w:rPr>
      </w:pPr>
    </w:p>
    <w:p>
      <w:pPr>
        <w:pStyle w:val="19"/>
        <w:keepNext w:val="0"/>
        <w:keepLines w:val="0"/>
        <w:pageBreakBefore w:val="0"/>
        <w:widowControl w:val="0"/>
        <w:numPr>
          <w:ilvl w:val="0"/>
          <w:numId w:val="1"/>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25</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度</w:t>
      </w:r>
      <w:r>
        <w:rPr>
          <w:rFonts w:hint="eastAsia" w:ascii="仿宋_GB2312" w:hAnsi="仿宋_GB2312" w:eastAsia="仿宋_GB2312" w:cs="仿宋_GB2312"/>
          <w:bCs/>
          <w:sz w:val="32"/>
          <w:szCs w:val="32"/>
          <w:lang w:eastAsia="zh-CN"/>
        </w:rPr>
        <w:t>，本</w:t>
      </w:r>
      <w:r>
        <w:rPr>
          <w:rFonts w:hint="eastAsia" w:ascii="仿宋_GB2312" w:hAnsi="仿宋_GB2312" w:eastAsia="仿宋_GB2312" w:cs="仿宋_GB2312"/>
          <w:bCs/>
          <w:sz w:val="32"/>
          <w:szCs w:val="32"/>
          <w:lang w:val="en-US" w:eastAsia="zh-CN"/>
        </w:rPr>
        <w:t>部门</w:t>
      </w:r>
      <w:r>
        <w:rPr>
          <w:rFonts w:hint="eastAsia" w:ascii="仿宋_GB2312" w:hAnsi="仿宋_GB2312" w:eastAsia="仿宋_GB2312" w:cs="仿宋_GB2312"/>
          <w:bCs/>
          <w:sz w:val="32"/>
          <w:szCs w:val="32"/>
        </w:rPr>
        <w:t>项目</w:t>
      </w:r>
      <w:r>
        <w:rPr>
          <w:rFonts w:hint="eastAsia" w:ascii="仿宋_GB2312" w:hAnsi="仿宋_GB2312" w:eastAsia="仿宋_GB2312" w:cs="仿宋_GB2312"/>
          <w:bCs/>
          <w:sz w:val="32"/>
          <w:szCs w:val="32"/>
          <w:lang w:val="en-US" w:eastAsia="zh-CN"/>
        </w:rPr>
        <w:t>支出</w:t>
      </w:r>
      <w:r>
        <w:rPr>
          <w:rFonts w:hint="eastAsia" w:ascii="仿宋_GB2312" w:hAnsi="仿宋_GB2312" w:eastAsia="仿宋_GB2312" w:cs="仿宋_GB2312"/>
          <w:bCs/>
          <w:color w:val="auto"/>
          <w:sz w:val="32"/>
          <w:szCs w:val="32"/>
          <w:lang w:val="en-US" w:eastAsia="zh-CN"/>
        </w:rPr>
        <w:t>实际</w:t>
      </w:r>
      <w:r>
        <w:rPr>
          <w:rFonts w:hint="eastAsia" w:ascii="仿宋_GB2312" w:hAnsi="仿宋_GB2312" w:eastAsia="仿宋_GB2312" w:cs="仿宋_GB2312"/>
          <w:bCs/>
          <w:color w:val="auto"/>
          <w:sz w:val="32"/>
          <w:szCs w:val="32"/>
        </w:rPr>
        <w:t>支出</w:t>
      </w:r>
      <w:r>
        <w:rPr>
          <w:rFonts w:hint="eastAsia" w:ascii="仿宋_GB2312" w:hAnsi="仿宋_GB2312" w:eastAsia="仿宋_GB2312" w:cs="仿宋_GB2312"/>
          <w:bCs/>
          <w:color w:val="auto"/>
          <w:sz w:val="32"/>
          <w:szCs w:val="32"/>
          <w:lang w:val="en-US" w:eastAsia="zh-CN"/>
        </w:rPr>
        <w:t>总金额为15109.84</w:t>
      </w:r>
      <w:r>
        <w:rPr>
          <w:rFonts w:hint="eastAsia" w:ascii="仿宋_GB2312" w:hAnsi="仿宋_GB2312" w:eastAsia="仿宋_GB2312" w:cs="仿宋_GB2312"/>
          <w:bCs/>
          <w:color w:val="auto"/>
          <w:sz w:val="32"/>
          <w:szCs w:val="32"/>
        </w:rPr>
        <w:t>万元，</w:t>
      </w:r>
      <w:r>
        <w:rPr>
          <w:rFonts w:hint="eastAsia" w:ascii="仿宋_GB2312" w:hAnsi="仿宋_GB2312" w:eastAsia="仿宋_GB2312" w:cs="仿宋_GB2312"/>
          <w:color w:val="auto"/>
          <w:sz w:val="32"/>
          <w:szCs w:val="32"/>
          <w:highlight w:val="none"/>
          <w:lang w:val="en-US" w:eastAsia="zh-CN"/>
        </w:rPr>
        <w:t>主要用于</w:t>
      </w:r>
      <w:r>
        <w:rPr>
          <w:rFonts w:hint="eastAsia" w:eastAsia="仿宋_GB2312"/>
          <w:sz w:val="32"/>
          <w:szCs w:val="32"/>
          <w:lang w:eastAsia="zh-CN"/>
        </w:rPr>
        <w:t>全市建筑市场监管、房地产市场监管、住房保障、村镇建设和名城保护、供排水管理、消防管理、勘察设计管理等方面</w:t>
      </w:r>
      <w:r>
        <w:rPr>
          <w:rFonts w:hint="eastAsia" w:eastAsia="仿宋_GB2312"/>
          <w:sz w:val="32"/>
          <w:szCs w:val="32"/>
          <w:lang w:val="en-US" w:eastAsia="zh-CN"/>
        </w:rPr>
        <w:t>；</w:t>
      </w:r>
      <w:r>
        <w:rPr>
          <w:rFonts w:hint="eastAsia" w:eastAsia="仿宋_GB2312"/>
          <w:sz w:val="32"/>
          <w:szCs w:val="32"/>
          <w:lang w:eastAsia="zh-CN"/>
        </w:rPr>
        <w:t>市本级和岳阳楼区管辖项目施工图审查政府购买服务</w:t>
      </w:r>
      <w:r>
        <w:rPr>
          <w:rFonts w:hint="eastAsia" w:eastAsia="仿宋_GB2312"/>
          <w:sz w:val="32"/>
          <w:szCs w:val="32"/>
          <w:lang w:val="en-US" w:eastAsia="zh-CN"/>
        </w:rPr>
        <w:t>方面；</w:t>
      </w:r>
      <w:r>
        <w:rPr>
          <w:rFonts w:hint="eastAsia" w:ascii="仿宋_GB2312" w:hAnsi="仿宋_GB2312" w:eastAsia="仿宋_GB2312" w:cs="仿宋_GB2312"/>
          <w:sz w:val="32"/>
          <w:szCs w:val="32"/>
          <w:highlight w:val="none"/>
          <w:lang w:val="en-US" w:eastAsia="zh-CN"/>
        </w:rPr>
        <w:t>城市管网及污水处理等海绵城市建设方面；历史文化名城保护方面、</w:t>
      </w:r>
      <w:r>
        <w:rPr>
          <w:rFonts w:hint="eastAsia" w:eastAsia="仿宋_GB2312"/>
          <w:sz w:val="32"/>
          <w:szCs w:val="32"/>
          <w:lang w:val="en-US" w:eastAsia="zh-CN"/>
        </w:rPr>
        <w:t>推动绿色建筑、绿色建材、绿色施工、可再生能源建筑应用发展</w:t>
      </w:r>
      <w:r>
        <w:rPr>
          <w:rFonts w:hint="eastAsia" w:eastAsia="仿宋_GB2312"/>
          <w:sz w:val="32"/>
          <w:szCs w:val="32"/>
          <w:lang w:eastAsia="zh-CN"/>
        </w:rPr>
        <w:t>等方面</w:t>
      </w:r>
      <w:r>
        <w:rPr>
          <w:rFonts w:hint="eastAsia" w:eastAsia="仿宋_GB2312"/>
          <w:sz w:val="32"/>
          <w:szCs w:val="32"/>
          <w:lang w:val="en-US" w:eastAsia="zh-CN"/>
        </w:rPr>
        <w:t>；行业数据库建设暨老旧小区改造方面、“一</w:t>
      </w:r>
      <w:r>
        <w:rPr>
          <w:rFonts w:hint="eastAsia" w:ascii="仿宋_GB2312" w:hAnsi="仿宋_GB2312" w:eastAsia="仿宋_GB2312" w:cs="仿宋_GB2312"/>
          <w:sz w:val="32"/>
          <w:szCs w:val="32"/>
          <w:highlight w:val="none"/>
          <w:lang w:val="en-US" w:eastAsia="zh-CN"/>
        </w:rPr>
        <w:t>件事一次办”制度创新激励等方面，</w:t>
      </w:r>
      <w:r>
        <w:rPr>
          <w:rFonts w:hint="eastAsia" w:ascii="仿宋_GB2312" w:hAnsi="仿宋_GB2312" w:eastAsia="仿宋_GB2312" w:cs="仿宋_GB2312"/>
          <w:color w:val="auto"/>
          <w:sz w:val="32"/>
          <w:szCs w:val="32"/>
          <w:highlight w:val="none"/>
          <w:lang w:val="en-US" w:eastAsia="zh-CN"/>
        </w:rPr>
        <w:t>以及其他住房和城乡建设方面项目支出。</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2"/>
          <w:sz w:val="32"/>
          <w:szCs w:val="32"/>
          <w:lang w:val="en-US" w:eastAsia="zh-CN" w:bidi="ar-SA"/>
        </w:rPr>
        <w:t>三、</w:t>
      </w:r>
      <w:r>
        <w:rPr>
          <w:rFonts w:hint="default" w:ascii="Times New Roman" w:hAnsi="Times New Roman" w:eastAsia="黑体" w:cs="Times New Roman"/>
          <w:sz w:val="32"/>
          <w:szCs w:val="32"/>
          <w:highlight w:val="none"/>
        </w:rPr>
        <w:t>政府性基金预算支出情况</w:t>
      </w:r>
    </w:p>
    <w:p>
      <w:pPr>
        <w:pStyle w:val="19"/>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仿宋" w:hAnsi="仿宋" w:eastAsia="仿宋" w:cs="仿宋"/>
          <w:sz w:val="32"/>
          <w:szCs w:val="32"/>
          <w:highlight w:val="none"/>
        </w:rPr>
        <w:t>本单位</w:t>
      </w:r>
      <w:r>
        <w:rPr>
          <w:rFonts w:hint="eastAsia" w:ascii="仿宋" w:hAnsi="仿宋" w:eastAsia="仿宋" w:cs="仿宋"/>
          <w:sz w:val="32"/>
          <w:szCs w:val="32"/>
          <w:highlight w:val="none"/>
          <w:lang w:val="en-US" w:eastAsia="zh-CN"/>
        </w:rPr>
        <w:t>2025年度政府性基金年初预算数为0，年中调整预算金额为47483.4万元，政府性基金支出总额为22532.80万元，为局机关的</w:t>
      </w:r>
      <w:r>
        <w:rPr>
          <w:rFonts w:hint="eastAsia" w:ascii="仿宋_GB2312" w:hAnsi="仿宋_GB2312" w:eastAsia="仿宋_GB2312" w:cs="仿宋_GB2312"/>
          <w:sz w:val="32"/>
          <w:szCs w:val="32"/>
          <w:highlight w:val="none"/>
          <w:lang w:val="en-US" w:eastAsia="zh-CN"/>
        </w:rPr>
        <w:t>四中人行天桥、城市更新示范项目前期经费、求索西路、城建维护经费项目和城乡事务中心</w:t>
      </w:r>
      <w:r>
        <w:rPr>
          <w:rFonts w:hint="eastAsia" w:ascii="仿宋" w:hAnsi="仿宋" w:eastAsia="仿宋" w:cs="仿宋"/>
          <w:b w:val="0"/>
          <w:bCs w:val="0"/>
          <w:color w:val="auto"/>
          <w:sz w:val="32"/>
          <w:szCs w:val="32"/>
          <w:lang w:val="en-US" w:eastAsia="zh-CN"/>
        </w:rPr>
        <w:t>恒大保交楼配套道路、湖滨污水管网改扩建、城陵矶片区污水管网改扩建、东风湖片区排水防涝通道提质改造、南湖大道及蛇皮套城市排水防涝改造工程等项目</w:t>
      </w:r>
      <w:r>
        <w:rPr>
          <w:rFonts w:hint="eastAsia" w:ascii="仿宋" w:hAnsi="仿宋" w:eastAsia="仿宋" w:cs="仿宋"/>
          <w:sz w:val="32"/>
          <w:szCs w:val="32"/>
          <w:highlight w:val="none"/>
          <w:lang w:val="en-US" w:eastAsia="zh-CN"/>
        </w:rPr>
        <w:t>支出。</w:t>
      </w:r>
    </w:p>
    <w:p>
      <w:pPr>
        <w:pStyle w:val="19"/>
        <w:keepNext w:val="0"/>
        <w:keepLines w:val="0"/>
        <w:pageBreakBefore w:val="0"/>
        <w:widowControl w:val="0"/>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国有资本经营预算支出情况</w:t>
      </w:r>
    </w:p>
    <w:p>
      <w:pPr>
        <w:pStyle w:val="19"/>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sz w:val="32"/>
          <w:szCs w:val="32"/>
          <w:lang w:val="en-US" w:eastAsia="zh-CN"/>
        </w:rPr>
        <w:t>本部门无</w:t>
      </w:r>
      <w:r>
        <w:rPr>
          <w:rFonts w:hint="eastAsia" w:ascii="仿宋_GB2312" w:hAnsi="仿宋_GB2312" w:eastAsia="仿宋_GB2312" w:cs="仿宋_GB2312"/>
          <w:sz w:val="32"/>
          <w:szCs w:val="32"/>
        </w:rPr>
        <w:t>国有资本经营预算支出</w:t>
      </w:r>
      <w:r>
        <w:rPr>
          <w:rFonts w:hint="eastAsia" w:ascii="仿宋_GB2312" w:hAnsi="仿宋_GB2312" w:eastAsia="仿宋_GB2312" w:cs="仿宋_GB2312"/>
          <w:sz w:val="32"/>
          <w:szCs w:val="32"/>
          <w:lang w:val="en-US" w:eastAsia="zh-CN"/>
        </w:rPr>
        <w:t>。</w:t>
      </w:r>
    </w:p>
    <w:p>
      <w:pPr>
        <w:pStyle w:val="19"/>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社会保险基金预算支出情况</w:t>
      </w:r>
    </w:p>
    <w:p>
      <w:pPr>
        <w:pStyle w:val="19"/>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黑体" w:cs="Times New Roman"/>
          <w:sz w:val="32"/>
          <w:szCs w:val="32"/>
          <w:highlight w:val="none"/>
        </w:rPr>
      </w:pPr>
      <w:r>
        <w:rPr>
          <w:rFonts w:hint="eastAsia" w:ascii="仿宋_GB2312" w:hAnsi="仿宋_GB2312" w:eastAsia="仿宋_GB2312" w:cs="仿宋_GB2312"/>
          <w:sz w:val="32"/>
          <w:szCs w:val="32"/>
          <w:lang w:val="en-US" w:eastAsia="zh-CN"/>
        </w:rPr>
        <w:t>本部门无</w:t>
      </w:r>
      <w:r>
        <w:rPr>
          <w:rFonts w:hint="eastAsia" w:ascii="仿宋_GB2312" w:hAnsi="仿宋_GB2312" w:eastAsia="仿宋_GB2312" w:cs="仿宋_GB2312"/>
          <w:sz w:val="32"/>
          <w:szCs w:val="32"/>
        </w:rPr>
        <w:t>社会保险基金预算支出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eastAsia" w:ascii="楷体_GB2312" w:hAnsi="楷体_GB2312" w:eastAsia="楷体_GB2312" w:cs="楷体_GB2312"/>
          <w:b/>
          <w:bCs w:val="0"/>
          <w:color w:val="auto"/>
          <w:kern w:val="2"/>
          <w:sz w:val="32"/>
          <w:szCs w:val="32"/>
          <w:highlight w:val="none"/>
          <w:lang w:val="en-US" w:eastAsia="zh-CN" w:bidi="ar-SA"/>
        </w:rPr>
      </w:pPr>
      <w:r>
        <w:rPr>
          <w:rFonts w:hint="eastAsia" w:ascii="楷体_GB2312" w:hAnsi="楷体_GB2312" w:eastAsia="楷体_GB2312" w:cs="楷体_GB2312"/>
          <w:b/>
          <w:bCs w:val="0"/>
          <w:color w:val="auto"/>
          <w:kern w:val="2"/>
          <w:sz w:val="32"/>
          <w:szCs w:val="32"/>
          <w:highlight w:val="none"/>
          <w:lang w:val="en-US" w:eastAsia="zh-CN" w:bidi="ar-SA"/>
        </w:rPr>
        <w:t>（一）年度绩效目标</w:t>
      </w:r>
    </w:p>
    <w:p>
      <w:pPr>
        <w:pStyle w:val="19"/>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1、全力保障单位正常履职运转；</w:t>
      </w:r>
    </w:p>
    <w:p>
      <w:pPr>
        <w:pStyle w:val="19"/>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2、有序推进城市更新，加大住房保障力度，加快黑臭水体整治，加速乡镇污水治理；</w:t>
      </w:r>
    </w:p>
    <w:p>
      <w:pPr>
        <w:pStyle w:val="19"/>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3、突出防控系统风险，扎实推动问题楼盘化解工作，保持房地产业平稳健康发展；</w:t>
      </w:r>
    </w:p>
    <w:p>
      <w:pPr>
        <w:pStyle w:val="19"/>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4、全力提升城市品质，加速历史文化名城保护工作，推进海绵城市建设；</w:t>
      </w:r>
    </w:p>
    <w:p>
      <w:pPr>
        <w:pStyle w:val="19"/>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5、抓好质量安全管理，压实各方安全监管责任；</w:t>
      </w:r>
    </w:p>
    <w:p>
      <w:pPr>
        <w:pStyle w:val="19"/>
        <w:keepNext w:val="0"/>
        <w:keepLines w:val="0"/>
        <w:pageBreakBefore w:val="0"/>
        <w:widowControl w:val="0"/>
        <w:kinsoku/>
        <w:wordWrap/>
        <w:overflowPunct/>
        <w:topLinePunct w:val="0"/>
        <w:autoSpaceDE/>
        <w:autoSpaceDN/>
        <w:bidi w:val="0"/>
        <w:adjustRightInd/>
        <w:snapToGrid/>
        <w:spacing w:line="640" w:lineRule="exact"/>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6、坚持探索改革创新，深入推进建筑业“放管服”改革。</w:t>
      </w:r>
    </w:p>
    <w:p>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643" w:firstLineChars="200"/>
        <w:jc w:val="both"/>
        <w:textAlignment w:val="auto"/>
        <w:rPr>
          <w:rFonts w:hint="default" w:ascii="楷体_GB2312" w:hAnsi="楷体_GB2312" w:eastAsia="楷体_GB2312" w:cs="楷体_GB2312"/>
          <w:b/>
          <w:bCs w:val="0"/>
          <w:color w:val="auto"/>
          <w:kern w:val="2"/>
          <w:sz w:val="32"/>
          <w:szCs w:val="32"/>
          <w:highlight w:val="none"/>
          <w:lang w:val="en-US" w:eastAsia="zh-CN" w:bidi="ar-SA"/>
        </w:rPr>
      </w:pPr>
      <w:r>
        <w:rPr>
          <w:rFonts w:hint="eastAsia" w:ascii="楷体_GB2312" w:hAnsi="楷体_GB2312" w:eastAsia="楷体_GB2312" w:cs="楷体_GB2312"/>
          <w:b/>
          <w:bCs w:val="0"/>
          <w:color w:val="auto"/>
          <w:kern w:val="2"/>
          <w:sz w:val="32"/>
          <w:szCs w:val="32"/>
          <w:highlight w:val="none"/>
          <w:lang w:val="en-US" w:eastAsia="zh-CN" w:bidi="ar-SA"/>
        </w:rPr>
        <w:t>（二）目标完成情况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bookmarkStart w:id="0" w:name="OLE_LINK49"/>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highlight w:val="none"/>
          <w:lang w:val="en-US" w:eastAsia="zh-CN"/>
        </w:rPr>
        <w:t>单位统筹预算资金，强化要素保障，整体运转正常有序，机关运行经费有效节约；</w:t>
      </w:r>
    </w:p>
    <w:p>
      <w:pPr>
        <w:pStyle w:val="5"/>
        <w:rPr>
          <w:rFonts w:hint="eastAsia" w:eastAsia="仿宋_GB2312"/>
          <w:lang w:val="en-US" w:eastAsia="zh-CN"/>
        </w:rPr>
      </w:pPr>
      <w:r>
        <w:rPr>
          <w:rFonts w:hint="eastAsia" w:ascii="仿宋_GB2312" w:hAnsi="仿宋_GB2312" w:eastAsia="仿宋_GB2312" w:cs="仿宋_GB2312"/>
          <w:sz w:val="32"/>
          <w:szCs w:val="32"/>
          <w:highlight w:val="none"/>
          <w:lang w:val="en-US" w:eastAsia="zh-CN"/>
        </w:rPr>
        <w:t>2、</w:t>
      </w:r>
      <w:r>
        <w:rPr>
          <w:rFonts w:hint="default" w:ascii="仿宋_GB2312" w:hAnsi="仿宋" w:eastAsia="仿宋_GB2312" w:cs="Times New Roman"/>
          <w:sz w:val="32"/>
          <w:szCs w:val="32"/>
          <w:highlight w:val="none"/>
          <w:lang w:val="en-US" w:eastAsia="zh-CN"/>
        </w:rPr>
        <w:t>积极争取城市更新、安居工程、农村危房改造等领域资金支持，全年累计争取各类政策性资金5.7亿元，有效保障项目建设。</w:t>
      </w:r>
      <w:r>
        <w:rPr>
          <w:rFonts w:hint="eastAsia" w:ascii="仿宋_GB2312" w:hAnsi="仿宋_GB2312" w:eastAsia="仿宋_GB2312" w:cs="仿宋_GB2312"/>
          <w:sz w:val="32"/>
          <w:szCs w:val="32"/>
          <w:highlight w:val="none"/>
          <w:lang w:val="en-US" w:eastAsia="zh-CN"/>
        </w:rPr>
        <w:t>圆满完成老旧小区改造及保障性住房年初工作目标，人居环境有效改善，</w:t>
      </w:r>
      <w:r>
        <w:rPr>
          <w:rFonts w:hint="default" w:ascii="仿宋_GB2312" w:hAnsi="仿宋" w:eastAsia="仿宋_GB2312" w:cs="Times New Roman"/>
          <w:sz w:val="32"/>
          <w:szCs w:val="32"/>
          <w:highlight w:val="none"/>
          <w:lang w:val="en-US" w:eastAsia="zh-CN"/>
        </w:rPr>
        <w:t>中心城区污水收集率从“十四五”初期的50.21%提升至73.32%，乡镇污水运行负荷率71.1%，出水水质达一级A标准</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w:t>
      </w:r>
      <w:r>
        <w:rPr>
          <w:rFonts w:hint="default" w:ascii="仿宋_GB2312" w:hAnsi="仿宋" w:eastAsia="仿宋_GB2312" w:cs="Times New Roman"/>
          <w:sz w:val="32"/>
          <w:szCs w:val="32"/>
          <w:highlight w:val="none"/>
          <w:lang w:val="en-US" w:eastAsia="zh-CN"/>
        </w:rPr>
        <w:t>争取房企“白名单”融资59.34亿元稳住投资，27个保交楼项目获专项借款15.93亿元，交付率100%</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w:t>
      </w:r>
      <w:r>
        <w:rPr>
          <w:rFonts w:hint="default" w:ascii="仿宋_GB2312" w:hAnsi="仿宋" w:eastAsia="仿宋_GB2312" w:cs="Times New Roman"/>
          <w:sz w:val="32"/>
          <w:szCs w:val="32"/>
          <w:highlight w:val="none"/>
          <w:lang w:val="en-US" w:eastAsia="zh-CN"/>
        </w:rPr>
        <w:t>完成20处历史建筑精准修缮，保留18家本土老字号、引进32家特色新业态，打造全时态文旅消费场景。建成全市统一历史建筑档案数据库，归集资料5000余件</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w:t>
      </w:r>
      <w:r>
        <w:rPr>
          <w:rFonts w:hint="default" w:ascii="仿宋_GB2312" w:hAnsi="仿宋" w:eastAsia="仿宋_GB2312" w:cs="Times New Roman"/>
          <w:sz w:val="32"/>
          <w:szCs w:val="32"/>
          <w:highlight w:val="none"/>
          <w:lang w:val="zh-CN" w:eastAsia="zh-CN"/>
        </w:rPr>
        <w:t>全年建筑业产值达926.76亿元，增速</w:t>
      </w:r>
      <w:r>
        <w:rPr>
          <w:rFonts w:hint="eastAsia" w:ascii="仿宋_GB2312" w:hAnsi="仿宋" w:eastAsia="仿宋_GB2312" w:cs="Times New Roman"/>
          <w:sz w:val="32"/>
          <w:szCs w:val="32"/>
          <w:highlight w:val="none"/>
          <w:lang w:val="en-US" w:eastAsia="zh-CN"/>
        </w:rPr>
        <w:t>全省第1</w:t>
      </w:r>
      <w:r>
        <w:rPr>
          <w:rFonts w:hint="default"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全市GDP贡献率超17%。</w:t>
      </w:r>
      <w:r>
        <w:rPr>
          <w:rFonts w:hint="default" w:ascii="仿宋_GB2312" w:hAnsi="仿宋" w:eastAsia="仿宋_GB2312" w:cs="Times New Roman"/>
          <w:sz w:val="32"/>
          <w:szCs w:val="32"/>
          <w:highlight w:val="none"/>
          <w:lang w:val="zh-CN" w:eastAsia="zh-CN"/>
        </w:rPr>
        <w:t>作为全省唯一绿色建造与浅层地热能“双试点”城市，实现新建民用建筑节能标准执行率、绿色建筑竣工面积占比“双100%”</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lang w:val="en-US" w:eastAsia="zh-CN"/>
        </w:rPr>
      </w:pPr>
      <w:r>
        <w:rPr>
          <w:rFonts w:hint="eastAsia" w:ascii="仿宋_GB2312" w:hAnsi="仿宋_GB2312" w:eastAsia="仿宋_GB2312" w:cs="仿宋_GB2312"/>
          <w:sz w:val="32"/>
          <w:szCs w:val="32"/>
          <w:highlight w:val="none"/>
          <w:lang w:val="en-US" w:eastAsia="zh-CN"/>
        </w:rPr>
        <w:t>6、</w:t>
      </w:r>
      <w:r>
        <w:rPr>
          <w:rFonts w:hint="default" w:ascii="仿宋_GB2312" w:hAnsi="仿宋" w:eastAsia="仿宋_GB2312" w:cs="Times New Roman"/>
          <w:sz w:val="32"/>
          <w:szCs w:val="32"/>
          <w:highlight w:val="none"/>
          <w:lang w:val="en-US" w:eastAsia="zh-CN"/>
        </w:rPr>
        <w:t>住建领域审批时限平均压缩60%，施工许可2日内办结，电子证照发放率100%，实现118项省级事项“一网通办”。推行开工、联合验收等“一件事”集成服务，农村建房审批压减至16天内。</w:t>
      </w:r>
    </w:p>
    <w:p>
      <w:pPr>
        <w:pStyle w:val="19"/>
        <w:keepNext w:val="0"/>
        <w:keepLines w:val="0"/>
        <w:pageBreakBefore w:val="0"/>
        <w:widowControl/>
        <w:numPr>
          <w:ilvl w:val="0"/>
          <w:numId w:val="0"/>
        </w:numPr>
        <w:kinsoku/>
        <w:wordWrap/>
        <w:overflowPunct/>
        <w:topLinePunct w:val="0"/>
        <w:autoSpaceDE/>
        <w:autoSpaceDN/>
        <w:bidi w:val="0"/>
        <w:adjustRightInd/>
        <w:snapToGrid/>
        <w:spacing w:line="580" w:lineRule="exact"/>
        <w:ind w:firstLine="321" w:firstLineChars="100"/>
        <w:jc w:val="both"/>
        <w:textAlignment w:val="auto"/>
        <w:rPr>
          <w:rFonts w:hint="eastAsia" w:ascii="楷体_GB2312" w:hAnsi="楷体_GB2312" w:eastAsia="楷体_GB2312" w:cs="楷体_GB2312"/>
          <w:b/>
          <w:bCs w:val="0"/>
          <w:color w:val="auto"/>
          <w:kern w:val="2"/>
          <w:sz w:val="32"/>
          <w:szCs w:val="32"/>
          <w:highlight w:val="none"/>
          <w:lang w:val="en-US" w:eastAsia="zh-CN" w:bidi="ar-SA"/>
        </w:rPr>
      </w:pPr>
      <w:r>
        <w:rPr>
          <w:rFonts w:hint="eastAsia" w:ascii="楷体_GB2312" w:hAnsi="楷体_GB2312" w:eastAsia="楷体_GB2312" w:cs="楷体_GB2312"/>
          <w:b/>
          <w:bCs w:val="0"/>
          <w:color w:val="auto"/>
          <w:kern w:val="2"/>
          <w:sz w:val="32"/>
          <w:szCs w:val="32"/>
          <w:highlight w:val="none"/>
          <w:lang w:val="en-US" w:eastAsia="zh-CN" w:bidi="ar-SA"/>
        </w:rPr>
        <w:t>（三）主要绩效</w:t>
      </w:r>
    </w:p>
    <w:bookmarkEnd w:id="0"/>
    <w:p>
      <w:pPr>
        <w:snapToGrid w:val="0"/>
        <w:spacing w:line="520" w:lineRule="exact"/>
        <w:ind w:firstLine="640" w:firstLineChars="200"/>
        <w:rPr>
          <w:rFonts w:hint="default" w:ascii="仿宋_GB2312" w:hAnsi="仿宋" w:eastAsia="仿宋_GB2312" w:cs="Times New Roman"/>
          <w:sz w:val="32"/>
          <w:szCs w:val="32"/>
          <w:highlight w:val="none"/>
          <w:lang w:val="zh-CN" w:eastAsia="zh-CN"/>
        </w:rPr>
      </w:pPr>
      <w:r>
        <w:rPr>
          <w:rFonts w:hint="default" w:ascii="仿宋_GB2312" w:hAnsi="仿宋" w:eastAsia="仿宋_GB2312" w:cs="Times New Roman"/>
          <w:sz w:val="32"/>
          <w:szCs w:val="32"/>
          <w:highlight w:val="none"/>
          <w:lang w:val="en-US" w:eastAsia="zh-CN"/>
        </w:rPr>
        <w:t>2</w:t>
      </w:r>
      <w:r>
        <w:rPr>
          <w:rFonts w:hint="default" w:ascii="仿宋_GB2312" w:hAnsi="仿宋" w:eastAsia="仿宋_GB2312" w:cs="Times New Roman"/>
          <w:sz w:val="32"/>
          <w:szCs w:val="32"/>
          <w:highlight w:val="none"/>
          <w:lang w:val="zh-CN" w:eastAsia="zh-CN"/>
        </w:rPr>
        <w:t>025年，在市委、市政府坚强领导下，市住建局紧扣高质量发展大局，聚焦经济赋能和民生保障，</w:t>
      </w:r>
      <w:r>
        <w:rPr>
          <w:rFonts w:hint="eastAsia" w:ascii="仿宋_GB2312" w:hAnsi="仿宋" w:eastAsia="仿宋_GB2312" w:cs="Times New Roman"/>
          <w:sz w:val="32"/>
          <w:szCs w:val="32"/>
          <w:highlight w:val="none"/>
          <w:lang w:val="zh-CN" w:eastAsia="zh-CN"/>
        </w:rPr>
        <w:t>攻坚克难</w:t>
      </w:r>
      <w:r>
        <w:rPr>
          <w:rFonts w:hint="default"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建筑业产值增速居全省第1，商品房销售面积增速居全省第2，</w:t>
      </w:r>
      <w:r>
        <w:rPr>
          <w:rFonts w:hint="default" w:ascii="仿宋_GB2312" w:hAnsi="仿宋" w:eastAsia="仿宋_GB2312" w:cs="Times New Roman"/>
          <w:sz w:val="32"/>
          <w:szCs w:val="32"/>
          <w:highlight w:val="none"/>
          <w:lang w:val="zh-CN" w:eastAsia="zh-CN"/>
        </w:rPr>
        <w:t>在省住建厅年终评价中获11项先进，总数居全省第</w:t>
      </w:r>
      <w:r>
        <w:rPr>
          <w:rFonts w:hint="default" w:ascii="仿宋_GB2312" w:hAnsi="仿宋" w:eastAsia="仿宋_GB2312" w:cs="Times New Roman"/>
          <w:sz w:val="32"/>
          <w:szCs w:val="32"/>
          <w:highlight w:val="none"/>
          <w:lang w:val="en-US" w:eastAsia="zh-CN"/>
        </w:rPr>
        <w:t>2，</w:t>
      </w:r>
      <w:r>
        <w:rPr>
          <w:rFonts w:hint="default" w:ascii="仿宋_GB2312" w:hAnsi="仿宋" w:eastAsia="仿宋_GB2312" w:cs="Times New Roman"/>
          <w:sz w:val="32"/>
          <w:szCs w:val="32"/>
          <w:highlight w:val="none"/>
          <w:lang w:val="zh-CN" w:eastAsia="zh-CN"/>
        </w:rPr>
        <w:t>获省政府“有效防范化解房地产风险”大抓落实督查激励，</w:t>
      </w:r>
      <w:r>
        <w:rPr>
          <w:rFonts w:hint="default" w:ascii="仿宋_GB2312" w:hAnsi="仿宋" w:eastAsia="仿宋_GB2312" w:cs="Times New Roman"/>
          <w:sz w:val="32"/>
          <w:szCs w:val="32"/>
          <w:highlight w:val="none"/>
          <w:lang w:val="en-US" w:eastAsia="zh-CN"/>
        </w:rPr>
        <w:t>并</w:t>
      </w:r>
      <w:r>
        <w:rPr>
          <w:rFonts w:hint="default" w:ascii="仿宋_GB2312" w:hAnsi="仿宋" w:eastAsia="仿宋_GB2312" w:cs="Times New Roman"/>
          <w:sz w:val="32"/>
          <w:szCs w:val="32"/>
          <w:highlight w:val="none"/>
          <w:lang w:val="zh-CN" w:eastAsia="zh-CN"/>
        </w:rPr>
        <w:t>被省政府评为</w:t>
      </w:r>
      <w:r>
        <w:rPr>
          <w:rFonts w:hint="eastAsia" w:ascii="仿宋_GB2312" w:hAnsi="仿宋" w:eastAsia="仿宋_GB2312" w:cs="Times New Roman"/>
          <w:sz w:val="32"/>
          <w:szCs w:val="32"/>
          <w:highlight w:val="none"/>
          <w:lang w:val="en-US" w:eastAsia="zh-CN"/>
        </w:rPr>
        <w:t>全省七大攻坚行动</w:t>
      </w:r>
      <w:r>
        <w:rPr>
          <w:rFonts w:hint="default" w:ascii="仿宋_GB2312" w:hAnsi="仿宋" w:eastAsia="仿宋_GB2312" w:cs="Times New Roman"/>
          <w:sz w:val="32"/>
          <w:szCs w:val="32"/>
          <w:highlight w:val="none"/>
          <w:lang w:val="zh-CN" w:eastAsia="zh-CN"/>
        </w:rPr>
        <w:t>“安全强基固本攻坚”先进单位。现将主要情况汇报如下：</w:t>
      </w:r>
    </w:p>
    <w:p>
      <w:pPr>
        <w:snapToGrid w:val="0"/>
        <w:spacing w:line="520" w:lineRule="exact"/>
        <w:ind w:firstLine="643" w:firstLineChars="200"/>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1.党建引领全局。</w:t>
      </w:r>
      <w:r>
        <w:rPr>
          <w:rFonts w:hint="eastAsia" w:ascii="仿宋_GB2312" w:hAnsi="仿宋" w:eastAsia="仿宋_GB2312" w:cs="Times New Roman"/>
          <w:sz w:val="32"/>
          <w:szCs w:val="32"/>
          <w:highlight w:val="none"/>
          <w:lang w:val="en-US" w:eastAsia="zh-CN"/>
        </w:rPr>
        <w:t>始终以政治建设为统领，强化理论武装铸魂，严格执行“第一议题”制度，通过党组理论学习中心组领学、专家授课、专题研讨等多元形式深学细悟党的创新理论，创新举办全市首场党的二十届四中全会集中微宣讲活动并获市级媒体推介，培养省市级宣讲骨干22名，推动党的创新理论入脑入心。守牢意识形态主阵地，党组定期研判风险，严格信息发布“三审三校”制度，全年发布信息2700余条、上级媒体采用50余篇次，“先锋住建宣讲团”获评全市理论宣讲先进集体，顺利通过省级文明标兵单位复评。深化“清廉住建360在行动”与“先锋住建360”党建品牌融合，既抓廉政建设树清风正气，又促党建业务同频共振——围绕旅发大会保障等急难险重任务组建党员突击队，打造“支部建在项目上”“红色安居”等特色子品牌，完成机关党委及4个党支部换届选举，评选44个“党员先锋岗”，引导党员干部在安全监管、项目攻坚中当先锋、作表率，以严实作风锻造坚强战斗堡垒，实现党建与发展互融共进、效能倍增。</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2.</w:t>
      </w:r>
      <w:r>
        <w:rPr>
          <w:rFonts w:hint="default" w:ascii="仿宋_GB2312" w:hAnsi="仿宋" w:eastAsia="仿宋_GB2312" w:cs="Times New Roman"/>
          <w:b/>
          <w:bCs/>
          <w:sz w:val="32"/>
          <w:szCs w:val="32"/>
          <w:highlight w:val="none"/>
          <w:lang w:val="en-US" w:eastAsia="zh-CN"/>
        </w:rPr>
        <w:t>政治意识和底线思维</w:t>
      </w:r>
      <w:r>
        <w:rPr>
          <w:rFonts w:hint="eastAsia" w:ascii="仿宋_GB2312" w:hAnsi="仿宋" w:eastAsia="仿宋_GB2312" w:cs="Times New Roman"/>
          <w:b/>
          <w:bCs/>
          <w:sz w:val="32"/>
          <w:szCs w:val="32"/>
          <w:highlight w:val="none"/>
          <w:lang w:val="en-US" w:eastAsia="zh-CN"/>
        </w:rPr>
        <w:t>不断强化。</w:t>
      </w:r>
      <w:r>
        <w:rPr>
          <w:rFonts w:hint="eastAsia" w:ascii="仿宋_GB2312" w:hAnsi="仿宋" w:eastAsia="仿宋_GB2312" w:cs="Times New Roman"/>
          <w:sz w:val="32"/>
          <w:szCs w:val="32"/>
          <w:highlight w:val="none"/>
          <w:lang w:val="en-US" w:eastAsia="zh-CN"/>
        </w:rPr>
        <w:t>高标准完成炮台山社区违建整改及164件中央巡视整改政治任务，获市信访联席会通报表扬，以实际行动践行“两个维护”。全力攻坚中央生态环保督察反馈问题，顺利通过生态环境部华南督察局4轮专项检查，第二轮督察问题全面整改清零，守护绿水青山政治责任落到实处。深化居民自建房安全整治，圆满完成三年攻坚行动，相关经验获全省推广，切实保障群众生命财产安全。筑牢安全生产坚固屏障，建筑工人实名制管理全省领先，</w:t>
      </w:r>
      <w:r>
        <w:rPr>
          <w:rFonts w:hint="default" w:ascii="仿宋_GB2312" w:hAnsi="仿宋" w:eastAsia="仿宋_GB2312" w:cs="Times New Roman"/>
          <w:sz w:val="32"/>
          <w:szCs w:val="32"/>
          <w:highlight w:val="none"/>
          <w:lang w:val="en-US" w:eastAsia="zh-CN"/>
        </w:rPr>
        <w:t>全市已安全运行65</w:t>
      </w:r>
      <w:r>
        <w:rPr>
          <w:rFonts w:hint="eastAsia" w:ascii="仿宋_GB2312" w:hAnsi="仿宋" w:eastAsia="仿宋_GB2312" w:cs="Times New Roman"/>
          <w:sz w:val="32"/>
          <w:szCs w:val="32"/>
          <w:highlight w:val="none"/>
          <w:lang w:val="en-US" w:eastAsia="zh-CN"/>
        </w:rPr>
        <w:t>6</w:t>
      </w:r>
      <w:r>
        <w:rPr>
          <w:rFonts w:hint="default" w:ascii="仿宋_GB2312" w:hAnsi="仿宋" w:eastAsia="仿宋_GB2312" w:cs="Times New Roman"/>
          <w:sz w:val="32"/>
          <w:szCs w:val="32"/>
          <w:highlight w:val="none"/>
          <w:lang w:val="en-US" w:eastAsia="zh-CN"/>
        </w:rPr>
        <w:t>天（中心城区9</w:t>
      </w:r>
      <w:r>
        <w:rPr>
          <w:rFonts w:hint="eastAsia" w:ascii="仿宋_GB2312" w:hAnsi="仿宋" w:eastAsia="仿宋_GB2312" w:cs="Times New Roman"/>
          <w:sz w:val="32"/>
          <w:szCs w:val="32"/>
          <w:highlight w:val="none"/>
          <w:lang w:val="en-US" w:eastAsia="zh-CN"/>
        </w:rPr>
        <w:t>60</w:t>
      </w:r>
      <w:r>
        <w:rPr>
          <w:rFonts w:hint="default" w:ascii="仿宋_GB2312" w:hAnsi="仿宋" w:eastAsia="仿宋_GB2312" w:cs="Times New Roman"/>
          <w:sz w:val="32"/>
          <w:szCs w:val="32"/>
          <w:highlight w:val="none"/>
          <w:lang w:val="en-US" w:eastAsia="zh-CN"/>
        </w:rPr>
        <w:t>天）</w:t>
      </w:r>
      <w:r>
        <w:rPr>
          <w:rFonts w:hint="eastAsia" w:ascii="仿宋_GB2312" w:hAnsi="仿宋" w:eastAsia="仿宋_GB2312" w:cs="Times New Roman"/>
          <w:sz w:val="32"/>
          <w:szCs w:val="32"/>
          <w:highlight w:val="none"/>
          <w:lang w:val="en-US" w:eastAsia="zh-CN"/>
        </w:rPr>
        <w:t>，27个项目斩获省级质量“芙蓉奖”，以本质安全水平提升服务发展大局。全年高效办理信访事项4049件次，一把手包案166件，受理率、办结率双百达标，切实守牢社会稳定底线，以扎实成效诠释对党忠诚、为民尽责的政治本色。</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3</w:t>
      </w:r>
      <w:r>
        <w:rPr>
          <w:rFonts w:hint="default" w:ascii="仿宋_GB2312" w:hAnsi="仿宋" w:eastAsia="仿宋_GB2312" w:cs="Times New Roman"/>
          <w:b/>
          <w:bCs/>
          <w:sz w:val="32"/>
          <w:szCs w:val="32"/>
          <w:highlight w:val="none"/>
          <w:lang w:val="en-US" w:eastAsia="zh-CN"/>
        </w:rPr>
        <w:t>.房地产平稳发展。</w:t>
      </w:r>
      <w:r>
        <w:rPr>
          <w:rFonts w:hint="default" w:ascii="仿宋_GB2312" w:hAnsi="仿宋" w:eastAsia="仿宋_GB2312" w:cs="Times New Roman"/>
          <w:sz w:val="32"/>
          <w:szCs w:val="32"/>
          <w:highlight w:val="none"/>
          <w:lang w:val="en-US" w:eastAsia="zh-CN"/>
        </w:rPr>
        <w:t>卫江书记、李挚市长8次专题调度该项工作，出台稳市场政策“41条”，</w:t>
      </w:r>
      <w:r>
        <w:rPr>
          <w:rFonts w:hint="eastAsia" w:ascii="仿宋_GB2312" w:hAnsi="仿宋" w:eastAsia="仿宋_GB2312" w:cs="Times New Roman"/>
          <w:sz w:val="32"/>
          <w:szCs w:val="32"/>
          <w:highlight w:val="none"/>
          <w:lang w:val="en-US" w:eastAsia="zh-CN"/>
        </w:rPr>
        <w:t>摸清了城区5万余公职人员底数，全力推动公职人员住房“以旧换新”工作，</w:t>
      </w:r>
      <w:r>
        <w:rPr>
          <w:rFonts w:hint="default" w:ascii="仿宋_GB2312" w:hAnsi="仿宋" w:eastAsia="仿宋_GB2312" w:cs="Times New Roman"/>
          <w:sz w:val="32"/>
          <w:szCs w:val="32"/>
          <w:highlight w:val="none"/>
          <w:lang w:val="en-US" w:eastAsia="zh-CN"/>
        </w:rPr>
        <w:t>举办6场住房团购活动，</w:t>
      </w:r>
      <w:r>
        <w:rPr>
          <w:rFonts w:hint="eastAsia" w:ascii="仿宋_GB2312" w:hAnsi="仿宋" w:eastAsia="仿宋_GB2312" w:cs="Times New Roman"/>
          <w:sz w:val="32"/>
          <w:szCs w:val="32"/>
          <w:highlight w:val="none"/>
          <w:lang w:val="en-US" w:eastAsia="zh-CN"/>
        </w:rPr>
        <w:t>全市</w:t>
      </w:r>
      <w:r>
        <w:rPr>
          <w:rFonts w:hint="default" w:ascii="仿宋_GB2312" w:hAnsi="仿宋" w:eastAsia="仿宋_GB2312" w:cs="Times New Roman"/>
          <w:sz w:val="32"/>
          <w:szCs w:val="32"/>
          <w:highlight w:val="none"/>
          <w:lang w:val="en-US" w:eastAsia="zh-CN"/>
        </w:rPr>
        <w:t>商品房销售面积229.75万平方米</w:t>
      </w:r>
      <w:r>
        <w:rPr>
          <w:rFonts w:hint="eastAsia" w:ascii="仿宋_GB2312" w:hAnsi="仿宋" w:eastAsia="仿宋_GB2312" w:cs="Times New Roman"/>
          <w:sz w:val="32"/>
          <w:szCs w:val="32"/>
          <w:highlight w:val="none"/>
          <w:lang w:val="en-US" w:eastAsia="zh-CN"/>
        </w:rPr>
        <w:t>，增速全省第2</w:t>
      </w:r>
      <w:r>
        <w:rPr>
          <w:rFonts w:hint="default" w:ascii="仿宋_GB2312" w:hAnsi="仿宋" w:eastAsia="仿宋_GB2312" w:cs="Times New Roman"/>
          <w:sz w:val="32"/>
          <w:szCs w:val="32"/>
          <w:highlight w:val="none"/>
          <w:lang w:val="en-US" w:eastAsia="zh-CN"/>
        </w:rPr>
        <w:t>。中心城区房价稳中有升，各县市区库存去化周期均降至“供地红线”以下。争取房企“白名单”融资59.34亿元稳住投资，27个保交楼项目获专项借款15.93亿元，交付率100%，推进项目6月30日前</w:t>
      </w:r>
      <w:r>
        <w:rPr>
          <w:rFonts w:hint="eastAsia" w:ascii="仿宋_GB2312" w:hAnsi="仿宋" w:eastAsia="仿宋_GB2312" w:cs="Times New Roman"/>
          <w:sz w:val="32"/>
          <w:szCs w:val="32"/>
          <w:highlight w:val="none"/>
          <w:lang w:val="en-US" w:eastAsia="zh-CN"/>
        </w:rPr>
        <w:t>启动</w:t>
      </w:r>
      <w:r>
        <w:rPr>
          <w:rFonts w:hint="default" w:ascii="仿宋_GB2312" w:hAnsi="仿宋" w:eastAsia="仿宋_GB2312" w:cs="Times New Roman"/>
          <w:sz w:val="32"/>
          <w:szCs w:val="32"/>
          <w:highlight w:val="none"/>
          <w:lang w:val="en-US" w:eastAsia="zh-CN"/>
        </w:rPr>
        <w:t>风险出清。</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4</w:t>
      </w:r>
      <w:r>
        <w:rPr>
          <w:rFonts w:hint="default" w:ascii="仿宋_GB2312" w:hAnsi="仿宋" w:eastAsia="仿宋_GB2312" w:cs="Times New Roman"/>
          <w:b/>
          <w:bCs/>
          <w:sz w:val="32"/>
          <w:szCs w:val="32"/>
          <w:highlight w:val="none"/>
          <w:lang w:val="en-US" w:eastAsia="zh-CN"/>
        </w:rPr>
        <w:t>.建筑业转型加速。</w:t>
      </w:r>
      <w:r>
        <w:rPr>
          <w:rFonts w:hint="default" w:ascii="仿宋_GB2312" w:hAnsi="仿宋" w:eastAsia="仿宋_GB2312" w:cs="Times New Roman"/>
          <w:sz w:val="32"/>
          <w:szCs w:val="32"/>
          <w:highlight w:val="none"/>
          <w:lang w:val="zh-CN" w:eastAsia="zh-CN"/>
        </w:rPr>
        <w:t>全年建筑业产值达926.76亿元，增速</w:t>
      </w:r>
      <w:r>
        <w:rPr>
          <w:rFonts w:hint="eastAsia" w:ascii="仿宋_GB2312" w:hAnsi="仿宋" w:eastAsia="仿宋_GB2312" w:cs="Times New Roman"/>
          <w:sz w:val="32"/>
          <w:szCs w:val="32"/>
          <w:highlight w:val="none"/>
          <w:lang w:val="en-US" w:eastAsia="zh-CN"/>
        </w:rPr>
        <w:t>全省第1</w:t>
      </w:r>
      <w:r>
        <w:rPr>
          <w:rFonts w:hint="default" w:ascii="仿宋_GB2312" w:hAnsi="仿宋" w:eastAsia="仿宋_GB2312" w:cs="Times New Roman"/>
          <w:sz w:val="32"/>
          <w:szCs w:val="32"/>
          <w:highlight w:val="none"/>
          <w:lang w:val="zh-CN" w:eastAsia="zh-CN"/>
        </w:rPr>
        <w:t>，</w:t>
      </w:r>
      <w:r>
        <w:rPr>
          <w:rFonts w:hint="eastAsia" w:ascii="仿宋_GB2312" w:hAnsi="仿宋" w:eastAsia="仿宋_GB2312" w:cs="Times New Roman"/>
          <w:sz w:val="32"/>
          <w:szCs w:val="32"/>
          <w:highlight w:val="none"/>
          <w:lang w:val="en-US" w:eastAsia="zh-CN"/>
        </w:rPr>
        <w:t>全市GDP贡献率超17%。</w:t>
      </w:r>
      <w:r>
        <w:rPr>
          <w:rFonts w:hint="default" w:ascii="仿宋_GB2312" w:hAnsi="仿宋" w:eastAsia="仿宋_GB2312" w:cs="Times New Roman"/>
          <w:sz w:val="32"/>
          <w:szCs w:val="32"/>
          <w:highlight w:val="none"/>
          <w:lang w:val="zh-CN" w:eastAsia="zh-CN"/>
        </w:rPr>
        <w:t>作为全省唯一绿色建造与浅层地热能“双试点”城市，实现新建民用建筑节能标准执行率、绿色建筑竣工面积占比“双100%”。新开工装配式建筑占比达66.56%，超省定目标。引进三一筑工等龙头企业，建成国家级产业基地2个、省级5个，产业集聚效应凸显</w:t>
      </w:r>
      <w:r>
        <w:rPr>
          <w:rFonts w:hint="default" w:ascii="仿宋_GB2312" w:hAnsi="仿宋" w:eastAsia="仿宋_GB2312" w:cs="Times New Roman"/>
          <w:sz w:val="32"/>
          <w:szCs w:val="32"/>
          <w:highlight w:val="none"/>
          <w:lang w:val="en-US" w:eastAsia="zh-CN"/>
        </w:rPr>
        <w:t>。</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5</w:t>
      </w:r>
      <w:r>
        <w:rPr>
          <w:rFonts w:hint="default" w:ascii="仿宋_GB2312" w:hAnsi="仿宋" w:eastAsia="仿宋_GB2312" w:cs="Times New Roman"/>
          <w:b/>
          <w:bCs/>
          <w:sz w:val="32"/>
          <w:szCs w:val="32"/>
          <w:highlight w:val="none"/>
          <w:lang w:val="en-US" w:eastAsia="zh-CN"/>
        </w:rPr>
        <w:t>.民生保障持续升温。</w:t>
      </w:r>
      <w:r>
        <w:rPr>
          <w:rFonts w:hint="default" w:ascii="仿宋_GB2312" w:hAnsi="仿宋" w:eastAsia="仿宋_GB2312" w:cs="Times New Roman"/>
          <w:sz w:val="32"/>
          <w:szCs w:val="32"/>
          <w:highlight w:val="none"/>
          <w:lang w:val="en-US" w:eastAsia="zh-CN"/>
        </w:rPr>
        <w:t>217个老旧小区改造全面开工，投资完成率80.98%，超额完成年度目标；96台老旧电梯更新、2801个充电端口建设任务超额完成。428套城市危旧房改造开工，814户农村危旧房改造竣工，3136套保障房开工建设，发放租赁补贴1万余户。纵深推进“三湘安居”行动，整改问题1530个，销号率97.63%，移送问题线索89条。全省率先出台物业管理地方性法规，获省人大肯定。全面排查消除城区二次供水隐患，推动二次供水立法修订和户表改革，守护居民饮水安全。人大代表建议、政协提案办理满意率均达100%，提案办理获评市级先进。</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6</w:t>
      </w:r>
      <w:r>
        <w:rPr>
          <w:rFonts w:hint="default" w:ascii="仿宋_GB2312" w:hAnsi="仿宋" w:eastAsia="仿宋_GB2312" w:cs="Times New Roman"/>
          <w:b/>
          <w:bCs/>
          <w:sz w:val="32"/>
          <w:szCs w:val="32"/>
          <w:highlight w:val="none"/>
          <w:lang w:val="en-US" w:eastAsia="zh-CN"/>
        </w:rPr>
        <w:t>.城市品质显著提升。</w:t>
      </w:r>
      <w:r>
        <w:rPr>
          <w:rFonts w:hint="eastAsia" w:ascii="仿宋_GB2312" w:hAnsi="仿宋" w:eastAsia="仿宋_GB2312" w:cs="Times New Roman"/>
          <w:sz w:val="32"/>
          <w:szCs w:val="32"/>
          <w:highlight w:val="none"/>
          <w:lang w:val="en-US" w:eastAsia="zh-CN"/>
        </w:rPr>
        <w:t>系统总结海绵城市示范建设成效，配合住建部于2025年完成《全国海绵城市建设案例集》出版工作，</w:t>
      </w:r>
      <w:r>
        <w:rPr>
          <w:rFonts w:hint="default" w:ascii="仿宋_GB2312" w:hAnsi="仿宋" w:eastAsia="仿宋_GB2312" w:cs="Times New Roman"/>
          <w:sz w:val="32"/>
          <w:szCs w:val="32"/>
          <w:highlight w:val="none"/>
          <w:lang w:val="en-US" w:eastAsia="zh-CN"/>
        </w:rPr>
        <w:t>为全国</w:t>
      </w:r>
      <w:r>
        <w:rPr>
          <w:rFonts w:hint="eastAsia" w:ascii="仿宋_GB2312" w:hAnsi="仿宋" w:eastAsia="仿宋_GB2312" w:cs="Times New Roman"/>
          <w:sz w:val="32"/>
          <w:szCs w:val="32"/>
          <w:highlight w:val="none"/>
          <w:lang w:val="en-US" w:eastAsia="zh-CN"/>
        </w:rPr>
        <w:t>滨湖临江型</w:t>
      </w:r>
      <w:r>
        <w:rPr>
          <w:rFonts w:hint="default" w:ascii="仿宋_GB2312" w:hAnsi="仿宋" w:eastAsia="仿宋_GB2312" w:cs="Times New Roman"/>
          <w:sz w:val="32"/>
          <w:szCs w:val="32"/>
          <w:highlight w:val="none"/>
          <w:lang w:val="en-US" w:eastAsia="zh-CN"/>
        </w:rPr>
        <w:t>城市提供了“岳阳样板”。中心城区水环境综合治理PPP项目累计新建改造管网796.33公里，中心城区污水收集率从“十四五”初期的50.21%提升至73.32%，</w:t>
      </w:r>
      <w:r>
        <w:rPr>
          <w:rFonts w:hint="eastAsia" w:ascii="仿宋_GB2312" w:hAnsi="仿宋" w:eastAsia="仿宋_GB2312" w:cs="Times New Roman"/>
          <w:sz w:val="32"/>
          <w:szCs w:val="32"/>
          <w:highlight w:val="none"/>
          <w:lang w:val="en-US" w:eastAsia="zh-CN"/>
        </w:rPr>
        <w:t>管网密度达全国同类城市先进水平，</w:t>
      </w:r>
      <w:r>
        <w:rPr>
          <w:rFonts w:hint="default" w:ascii="仿宋_GB2312" w:hAnsi="仿宋" w:eastAsia="仿宋_GB2312" w:cs="Times New Roman"/>
          <w:sz w:val="32"/>
          <w:szCs w:val="32"/>
          <w:highlight w:val="none"/>
          <w:lang w:val="en-US" w:eastAsia="zh-CN"/>
        </w:rPr>
        <w:t>“厂网河湖岸一体化治理”模式获国家发改委推广。乡镇污水运行负荷率71.1%，出水水质达一级A标准。</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7</w:t>
      </w:r>
      <w:r>
        <w:rPr>
          <w:rFonts w:hint="default" w:ascii="仿宋_GB2312" w:hAnsi="仿宋" w:eastAsia="仿宋_GB2312" w:cs="Times New Roman"/>
          <w:b/>
          <w:bCs/>
          <w:sz w:val="32"/>
          <w:szCs w:val="32"/>
          <w:highlight w:val="none"/>
          <w:lang w:val="en-US" w:eastAsia="zh-CN"/>
        </w:rPr>
        <w:t>.历史文化保护全面加强。</w:t>
      </w:r>
      <w:r>
        <w:rPr>
          <w:rFonts w:hint="default" w:ascii="仿宋_GB2312" w:hAnsi="仿宋" w:eastAsia="仿宋_GB2312" w:cs="Times New Roman"/>
          <w:sz w:val="32"/>
          <w:szCs w:val="32"/>
          <w:highlight w:val="none"/>
          <w:lang w:val="en-US" w:eastAsia="zh-CN"/>
        </w:rPr>
        <w:t>完成20处历史建筑精准修缮，保留18家本土老字号、引进32家特色新业态，打造全时态文旅消费场景。建成全市统一历史建筑档案数据库，归集资料5000余件。洞庭南路历史文化街区</w:t>
      </w:r>
      <w:r>
        <w:rPr>
          <w:rFonts w:hint="eastAsia" w:ascii="仿宋_GB2312" w:hAnsi="仿宋" w:eastAsia="仿宋_GB2312" w:cs="Times New Roman"/>
          <w:sz w:val="32"/>
          <w:szCs w:val="32"/>
          <w:highlight w:val="none"/>
          <w:lang w:val="en-US" w:eastAsia="zh-CN"/>
        </w:rPr>
        <w:t>被</w:t>
      </w:r>
      <w:r>
        <w:rPr>
          <w:rFonts w:hint="default" w:ascii="仿宋_GB2312" w:hAnsi="仿宋" w:eastAsia="仿宋_GB2312" w:cs="Times New Roman"/>
          <w:sz w:val="32"/>
          <w:szCs w:val="32"/>
          <w:highlight w:val="none"/>
          <w:lang w:val="en-US" w:eastAsia="zh-CN"/>
        </w:rPr>
        <w:t>住建部专家组推荐为“全国历史文化街区保护活化与文旅融合发展典范”。</w:t>
      </w:r>
    </w:p>
    <w:p>
      <w:pPr>
        <w:snapToGrid w:val="0"/>
        <w:spacing w:line="520" w:lineRule="exact"/>
        <w:ind w:firstLine="643" w:firstLineChars="200"/>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b/>
          <w:bCs/>
          <w:sz w:val="32"/>
          <w:szCs w:val="32"/>
          <w:highlight w:val="none"/>
          <w:lang w:val="en-US" w:eastAsia="zh-CN"/>
        </w:rPr>
        <w:t>8</w:t>
      </w:r>
      <w:r>
        <w:rPr>
          <w:rFonts w:hint="default" w:ascii="仿宋_GB2312" w:hAnsi="仿宋" w:eastAsia="仿宋_GB2312" w:cs="Times New Roman"/>
          <w:b/>
          <w:bCs/>
          <w:sz w:val="32"/>
          <w:szCs w:val="32"/>
          <w:highlight w:val="none"/>
          <w:lang w:val="en-US" w:eastAsia="zh-CN"/>
        </w:rPr>
        <w:t>.深化改革优化环境。</w:t>
      </w:r>
      <w:r>
        <w:rPr>
          <w:rFonts w:hint="default" w:ascii="仿宋_GB2312" w:hAnsi="仿宋" w:eastAsia="仿宋_GB2312" w:cs="Times New Roman"/>
          <w:sz w:val="32"/>
          <w:szCs w:val="32"/>
          <w:highlight w:val="none"/>
          <w:lang w:val="en-US" w:eastAsia="zh-CN"/>
        </w:rPr>
        <w:t>住建领域审批时限平均压缩60%，施工许可2日内办结，电子证照发放率100%，实现118项省级事项“一网通办”。推行开工、联合验收等“一件事”集成服务，农村建房审批压减至16天内。率先在75个项目开展“机器管招投标”试点。创新出台消防验收九项措施，打造全省首个服务大型文旅活动专项方案，我市消防技术队伍获全省技能竞赛团体二等奖、个人一等奖。</w:t>
      </w:r>
    </w:p>
    <w:p>
      <w:pPr>
        <w:snapToGrid w:val="0"/>
        <w:spacing w:line="520" w:lineRule="exact"/>
        <w:ind w:firstLine="643" w:firstLineChars="200"/>
        <w:rPr>
          <w:rFonts w:hint="eastAsia" w:ascii="楷体_GB2312" w:hAnsi="楷体_GB2312" w:eastAsia="楷体_GB2312" w:cs="楷体_GB2312"/>
          <w:b/>
          <w:bCs w:val="0"/>
          <w:color w:val="auto"/>
          <w:kern w:val="2"/>
          <w:sz w:val="32"/>
          <w:szCs w:val="32"/>
          <w:highlight w:val="none"/>
          <w:lang w:val="en-US" w:eastAsia="zh-CN" w:bidi="ar-SA"/>
        </w:rPr>
      </w:pPr>
      <w:r>
        <w:rPr>
          <w:rFonts w:hint="eastAsia" w:ascii="仿宋_GB2312" w:hAnsi="仿宋" w:eastAsia="仿宋_GB2312" w:cs="Times New Roman"/>
          <w:b/>
          <w:bCs/>
          <w:sz w:val="32"/>
          <w:szCs w:val="32"/>
          <w:highlight w:val="none"/>
          <w:lang w:val="en-US" w:eastAsia="zh-CN"/>
        </w:rPr>
        <w:t>9</w:t>
      </w:r>
      <w:r>
        <w:rPr>
          <w:rFonts w:hint="default" w:ascii="仿宋_GB2312" w:hAnsi="仿宋" w:eastAsia="仿宋_GB2312" w:cs="Times New Roman"/>
          <w:b/>
          <w:bCs/>
          <w:sz w:val="32"/>
          <w:szCs w:val="32"/>
          <w:highlight w:val="none"/>
          <w:lang w:val="en-US" w:eastAsia="zh-CN"/>
        </w:rPr>
        <w:t>.争资争项与协税护税精准发力。</w:t>
      </w:r>
      <w:r>
        <w:rPr>
          <w:rFonts w:hint="default" w:ascii="仿宋_GB2312" w:hAnsi="仿宋" w:eastAsia="仿宋_GB2312" w:cs="Times New Roman"/>
          <w:sz w:val="32"/>
          <w:szCs w:val="32"/>
          <w:highlight w:val="none"/>
          <w:lang w:val="en-US" w:eastAsia="zh-CN"/>
        </w:rPr>
        <w:t>积极争取城市更新、安居工程、农村危房改造等领域资金支持，全年累计争取各类政策性资金5.7亿元，有效保障项目建设。全力克服房地产市场下行压力，扎实推进协税护税工作，全年完成协税护税31.12亿元，全市财政收入的贡献度超过15%，为地方财政提供坚实支撑。</w:t>
      </w:r>
    </w:p>
    <w:p>
      <w:pPr>
        <w:pStyle w:val="19"/>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（一）存在实际在岗人数超编制人数现象。</w:t>
      </w:r>
      <w:r>
        <w:rPr>
          <w:rFonts w:hint="eastAsia" w:ascii="仿宋_GB2312" w:hAnsi="仿宋_GB2312" w:eastAsia="仿宋_GB2312" w:cs="仿宋_GB2312"/>
          <w:color w:val="000000"/>
          <w:kern w:val="0"/>
          <w:sz w:val="32"/>
          <w:szCs w:val="32"/>
          <w:lang w:val="en-US" w:eastAsia="zh-CN"/>
        </w:rPr>
        <w:t>根据“三定方案”，局机关编制</w:t>
      </w:r>
      <w:r>
        <w:rPr>
          <w:rFonts w:hint="eastAsia" w:ascii="仿宋_GB2312" w:hAnsi="仿宋_GB2312" w:eastAsia="仿宋_GB2312" w:cs="仿宋_GB2312"/>
          <w:color w:val="auto"/>
          <w:kern w:val="0"/>
          <w:sz w:val="32"/>
          <w:szCs w:val="32"/>
          <w:lang w:val="en-US" w:eastAsia="zh-CN"/>
        </w:rPr>
        <w:t>55人</w:t>
      </w:r>
      <w:r>
        <w:rPr>
          <w:rFonts w:hint="eastAsia" w:ascii="仿宋_GB2312" w:hAnsi="仿宋_GB2312" w:eastAsia="仿宋_GB2312" w:cs="仿宋_GB2312"/>
          <w:color w:val="000000"/>
          <w:kern w:val="0"/>
          <w:sz w:val="32"/>
          <w:szCs w:val="32"/>
          <w:lang w:val="en-US" w:eastAsia="zh-CN"/>
        </w:rPr>
        <w:t>，2025年实有在岗人员</w:t>
      </w:r>
      <w:r>
        <w:rPr>
          <w:rFonts w:hint="eastAsia" w:ascii="仿宋_GB2312" w:hAnsi="仿宋_GB2312" w:eastAsia="仿宋_GB2312" w:cs="仿宋_GB2312"/>
          <w:color w:val="auto"/>
          <w:kern w:val="0"/>
          <w:sz w:val="32"/>
          <w:szCs w:val="32"/>
          <w:highlight w:val="none"/>
          <w:lang w:val="en-US" w:eastAsia="zh-CN"/>
        </w:rPr>
        <w:t>64人，</w:t>
      </w:r>
      <w:r>
        <w:rPr>
          <w:rFonts w:hint="eastAsia" w:ascii="仿宋_GB2312" w:hAnsi="仿宋_GB2312" w:eastAsia="仿宋_GB2312" w:cs="仿宋_GB2312"/>
          <w:color w:val="000000"/>
          <w:kern w:val="0"/>
          <w:sz w:val="32"/>
          <w:szCs w:val="32"/>
          <w:lang w:val="en-US" w:eastAsia="zh-CN" w:bidi="ar-SA"/>
        </w:rPr>
        <w:t>超过编制人数9人，主要原因为原住房和城乡建设局、原房地产管理</w:t>
      </w:r>
      <w:r>
        <w:rPr>
          <w:rFonts w:hint="eastAsia" w:ascii="仿宋_GB2312" w:hAnsi="仿宋_GB2312" w:eastAsia="仿宋_GB2312" w:cs="仿宋_GB2312"/>
          <w:color w:val="000000"/>
          <w:kern w:val="0"/>
          <w:sz w:val="32"/>
          <w:szCs w:val="32"/>
          <w:highlight w:val="none"/>
          <w:lang w:val="en-US" w:eastAsia="zh-CN" w:bidi="ar-SA"/>
        </w:rPr>
        <w:t>局因机构改革合并的政策性超编。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二）预算绩效目标编制不够规范，</w:t>
      </w:r>
      <w:r>
        <w:rPr>
          <w:rFonts w:hint="eastAsia" w:ascii="仿宋_GB2312" w:hAnsi="仿宋_GB2312" w:eastAsia="仿宋_GB2312" w:cs="仿宋_GB2312"/>
          <w:b w:val="0"/>
          <w:bCs w:val="0"/>
          <w:sz w:val="32"/>
          <w:szCs w:val="32"/>
          <w:lang w:eastAsia="zh-CN"/>
        </w:rPr>
        <w:t>指标</w:t>
      </w:r>
      <w:r>
        <w:rPr>
          <w:rFonts w:hint="eastAsia" w:ascii="仿宋_GB2312" w:hAnsi="仿宋_GB2312" w:eastAsia="仿宋_GB2312" w:cs="仿宋_GB2312"/>
          <w:b w:val="0"/>
          <w:bCs w:val="0"/>
          <w:sz w:val="32"/>
          <w:szCs w:val="32"/>
          <w:lang w:val="en-US" w:eastAsia="zh-CN"/>
        </w:rPr>
        <w:t>关联细化程度有待进一步提升</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lang w:val="en-US" w:eastAsia="zh-CN"/>
        </w:rPr>
        <w:t>主要原因为</w:t>
      </w:r>
      <w:r>
        <w:rPr>
          <w:rFonts w:hint="eastAsia" w:ascii="仿宋_GB2312" w:hAnsi="仿宋_GB2312" w:eastAsia="仿宋_GB2312" w:cs="仿宋_GB2312"/>
          <w:sz w:val="32"/>
          <w:szCs w:val="32"/>
          <w:lang w:eastAsia="zh-CN"/>
        </w:rPr>
        <w:t>绩效管理</w:t>
      </w:r>
      <w:r>
        <w:rPr>
          <w:rFonts w:hint="eastAsia" w:ascii="仿宋_GB2312" w:hAnsi="仿宋_GB2312" w:eastAsia="仿宋_GB2312" w:cs="仿宋_GB2312"/>
          <w:sz w:val="32"/>
          <w:szCs w:val="32"/>
          <w:lang w:val="en-US" w:eastAsia="zh-CN"/>
        </w:rPr>
        <w:t>由财务部门兼任，</w:t>
      </w:r>
      <w:r>
        <w:rPr>
          <w:rFonts w:hint="eastAsia" w:ascii="仿宋_GB2312" w:hAnsi="仿宋_GB2312" w:eastAsia="仿宋_GB2312" w:cs="仿宋_GB2312"/>
          <w:sz w:val="32"/>
          <w:szCs w:val="32"/>
          <w:lang w:eastAsia="zh-CN"/>
        </w:rPr>
        <w:t>财务人员大多是财会相关专业，绩效</w:t>
      </w:r>
      <w:r>
        <w:rPr>
          <w:rFonts w:hint="eastAsia" w:ascii="仿宋_GB2312" w:hAnsi="仿宋_GB2312" w:eastAsia="仿宋_GB2312" w:cs="仿宋_GB2312"/>
          <w:sz w:val="32"/>
          <w:szCs w:val="32"/>
          <w:lang w:val="en-US" w:eastAsia="zh-CN"/>
        </w:rPr>
        <w:t>管理不但</w:t>
      </w:r>
      <w:r>
        <w:rPr>
          <w:rFonts w:hint="eastAsia" w:ascii="仿宋_GB2312" w:hAnsi="仿宋_GB2312" w:eastAsia="仿宋_GB2312" w:cs="仿宋_GB2312"/>
          <w:sz w:val="32"/>
          <w:szCs w:val="32"/>
          <w:lang w:eastAsia="zh-CN"/>
        </w:rPr>
        <w:t>需要掌握财经知识，还要熟悉相关政策、了解项目业务</w:t>
      </w:r>
      <w:r>
        <w:rPr>
          <w:rFonts w:hint="eastAsia" w:ascii="仿宋_GB2312" w:hAnsi="仿宋_GB2312" w:eastAsia="仿宋_GB2312" w:cs="仿宋_GB2312"/>
          <w:sz w:val="32"/>
          <w:szCs w:val="32"/>
          <w:lang w:val="en-US" w:eastAsia="zh-CN"/>
        </w:rPr>
        <w:t>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需要具备</w:t>
      </w:r>
      <w:r>
        <w:rPr>
          <w:rFonts w:hint="eastAsia" w:ascii="仿宋_GB2312" w:hAnsi="仿宋_GB2312" w:eastAsia="仿宋_GB2312" w:cs="仿宋_GB2312"/>
          <w:sz w:val="32"/>
          <w:szCs w:val="32"/>
          <w:lang w:eastAsia="zh-CN"/>
        </w:rPr>
        <w:t>并持续更新综合性知识体系</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val="0"/>
          <w:color w:val="auto"/>
          <w:sz w:val="32"/>
          <w:szCs w:val="32"/>
          <w:lang w:val="en-US" w:eastAsia="zh-CN"/>
        </w:rPr>
        <w:t>（三）预算执行力度有待进一步加强。</w:t>
      </w:r>
      <w:r>
        <w:rPr>
          <w:rFonts w:hint="default" w:ascii="仿宋_GB2312" w:hAnsi="仿宋_GB2312" w:eastAsia="仿宋_GB2312" w:cs="仿宋_GB2312"/>
          <w:bCs/>
          <w:color w:val="auto"/>
          <w:sz w:val="32"/>
          <w:szCs w:val="32"/>
          <w:lang w:val="en" w:eastAsia="zh-CN"/>
        </w:rPr>
        <w:t>202</w:t>
      </w:r>
      <w:r>
        <w:rPr>
          <w:rFonts w:hint="eastAsia" w:ascii="仿宋_GB2312" w:hAnsi="仿宋_GB2312" w:eastAsia="仿宋_GB2312" w:cs="仿宋_GB2312"/>
          <w:bCs/>
          <w:color w:val="auto"/>
          <w:sz w:val="32"/>
          <w:szCs w:val="32"/>
          <w:lang w:val="en-US" w:eastAsia="zh-CN"/>
        </w:rPr>
        <w:t>5年</w:t>
      </w:r>
      <w:r>
        <w:rPr>
          <w:rFonts w:hint="default" w:ascii="仿宋_GB2312" w:hAnsi="仿宋_GB2312" w:eastAsia="仿宋_GB2312" w:cs="仿宋_GB2312"/>
          <w:bCs/>
          <w:color w:val="auto"/>
          <w:sz w:val="32"/>
          <w:szCs w:val="32"/>
          <w:lang w:val="en" w:eastAsia="zh-CN"/>
        </w:rPr>
        <w:t>,</w:t>
      </w:r>
      <w:r>
        <w:rPr>
          <w:rFonts w:hint="eastAsia" w:ascii="仿宋_GB2312" w:hAnsi="仿宋_GB2312" w:eastAsia="仿宋_GB2312" w:cs="仿宋_GB2312"/>
          <w:bCs/>
          <w:color w:val="auto"/>
          <w:sz w:val="32"/>
          <w:szCs w:val="32"/>
          <w:lang w:val="en" w:eastAsia="zh-CN"/>
        </w:rPr>
        <w:t>本部门整体</w:t>
      </w:r>
      <w:r>
        <w:rPr>
          <w:rFonts w:hint="eastAsia" w:ascii="仿宋_GB2312" w:hAnsi="仿宋_GB2312" w:eastAsia="仿宋_GB2312" w:cs="仿宋_GB2312"/>
          <w:bCs/>
          <w:color w:val="auto"/>
          <w:sz w:val="32"/>
          <w:szCs w:val="32"/>
          <w:lang w:val="en-US" w:eastAsia="zh-CN"/>
        </w:rPr>
        <w:t>预算执行率54.33%，财政资金使用效率还有待进一步提升。</w:t>
      </w:r>
      <w:r>
        <w:rPr>
          <w:rFonts w:hint="eastAsia" w:ascii="仿宋_GB2312" w:hAnsi="仿宋_GB2312" w:eastAsia="仿宋_GB2312" w:cs="仿宋_GB2312"/>
          <w:color w:val="auto"/>
          <w:sz w:val="32"/>
          <w:szCs w:val="32"/>
          <w:lang w:val="en-US" w:eastAsia="zh-CN"/>
        </w:rPr>
        <w:t>市住建局本级、</w:t>
      </w:r>
      <w:r>
        <w:rPr>
          <w:rFonts w:hint="eastAsia" w:ascii="仿宋_GB2312" w:hAnsi="仿宋_GB2312" w:eastAsia="仿宋_GB2312" w:cs="仿宋_GB2312"/>
          <w:color w:val="auto"/>
          <w:sz w:val="32"/>
          <w:szCs w:val="32"/>
        </w:rPr>
        <w:t>市城乡建设事务中心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市污水处理监督中心</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highlight w:val="none"/>
          <w:lang w:val="en-US" w:eastAsia="zh-CN"/>
        </w:rPr>
        <w:t>市城市建设档案馆4家单位城市管网及污水处理补助资金项目和</w:t>
      </w:r>
      <w:r>
        <w:rPr>
          <w:rFonts w:hint="eastAsia" w:ascii="仿宋_GB2312" w:hAnsi="仿宋_GB2312" w:eastAsia="仿宋_GB2312" w:cs="仿宋_GB2312"/>
          <w:color w:val="auto"/>
          <w:sz w:val="32"/>
          <w:szCs w:val="32"/>
          <w:lang w:val="en-US" w:eastAsia="zh-CN"/>
        </w:rPr>
        <w:t>四中人行天桥</w:t>
      </w:r>
      <w:r>
        <w:rPr>
          <w:rFonts w:hint="eastAsia" w:ascii="仿宋_GB2312" w:hAnsi="仿宋_GB2312" w:eastAsia="仿宋_GB2312" w:cs="仿宋_GB2312"/>
          <w:color w:val="auto"/>
          <w:sz w:val="32"/>
          <w:szCs w:val="32"/>
          <w:highlight w:val="none"/>
          <w:lang w:val="en-US" w:eastAsia="zh-CN"/>
        </w:rPr>
        <w:t>项目预算执行率偏低。主要原因为</w:t>
      </w:r>
      <w:r>
        <w:rPr>
          <w:rFonts w:hint="eastAsia" w:ascii="仿宋_GB2312" w:hAnsi="仿宋_GB2312" w:eastAsia="仿宋_GB2312" w:cs="仿宋_GB2312"/>
          <w:b w:val="0"/>
          <w:bCs w:val="0"/>
          <w:color w:val="auto"/>
          <w:sz w:val="32"/>
          <w:szCs w:val="32"/>
          <w:lang w:val="en-US" w:eastAsia="zh-CN"/>
        </w:rPr>
        <w:t>城市管网及污水处理项目</w:t>
      </w:r>
      <w:r>
        <w:rPr>
          <w:rFonts w:hint="eastAsia" w:ascii="仿宋_GB2312" w:hAnsi="仿宋_GB2312" w:eastAsia="仿宋_GB2312" w:cs="仿宋_GB2312"/>
          <w:color w:val="auto"/>
          <w:sz w:val="32"/>
          <w:szCs w:val="32"/>
          <w:lang w:val="en-US" w:eastAsia="zh-CN"/>
        </w:rPr>
        <w:t>方案变动多、前期手续办理困难等原因，部分项目实施进度滞后，</w:t>
      </w:r>
      <w:r>
        <w:rPr>
          <w:rFonts w:hint="eastAsia" w:ascii="仿宋_GB2312" w:hAnsi="仿宋_GB2312" w:eastAsia="仿宋_GB2312" w:cs="仿宋_GB2312"/>
          <w:color w:val="auto"/>
          <w:sz w:val="32"/>
          <w:szCs w:val="32"/>
          <w:highlight w:val="none"/>
          <w:lang w:val="en-US" w:eastAsia="zh-CN"/>
        </w:rPr>
        <w:t>以及</w:t>
      </w:r>
      <w:r>
        <w:rPr>
          <w:rFonts w:hint="eastAsia" w:ascii="仿宋_GB2312" w:hAnsi="仿宋_GB2312" w:eastAsia="仿宋_GB2312" w:cs="仿宋_GB2312"/>
          <w:color w:val="auto"/>
          <w:sz w:val="32"/>
          <w:szCs w:val="32"/>
          <w:lang w:val="en-US" w:eastAsia="zh-CN"/>
        </w:rPr>
        <w:t>四中人行天桥</w:t>
      </w:r>
      <w:r>
        <w:rPr>
          <w:rFonts w:hint="eastAsia" w:ascii="仿宋_GB2312" w:hAnsi="仿宋_GB2312" w:eastAsia="仿宋_GB2312" w:cs="仿宋_GB2312"/>
          <w:color w:val="auto"/>
          <w:sz w:val="32"/>
          <w:szCs w:val="32"/>
          <w:highlight w:val="none"/>
          <w:lang w:val="en-US" w:eastAsia="zh-CN"/>
        </w:rPr>
        <w:t>项目因为工程款支付手续不完善，工程款未能成功支付，导致部门整体预算执行率不高。</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rPr>
      </w:pPr>
      <w:r>
        <w:rPr>
          <w:rFonts w:hint="eastAsia" w:eastAsia="仿宋_GB2312" w:cs="Times New Roman"/>
          <w:b w:val="0"/>
          <w:bCs w:val="0"/>
          <w:color w:val="000000"/>
          <w:kern w:val="0"/>
          <w:sz w:val="32"/>
          <w:szCs w:val="32"/>
          <w:lang w:val="en-US" w:eastAsia="zh-CN" w:bidi="ar-SA"/>
        </w:rPr>
        <w:t>（一）合理控制在岗人数，</w:t>
      </w:r>
      <w:r>
        <w:rPr>
          <w:rFonts w:hint="eastAsia" w:eastAsia="仿宋_GB2312" w:cs="Times New Roman"/>
          <w:color w:val="000000"/>
          <w:kern w:val="0"/>
          <w:sz w:val="32"/>
          <w:szCs w:val="32"/>
          <w:lang w:val="en-US" w:eastAsia="zh-CN" w:bidi="ar-SA"/>
        </w:rPr>
        <w:t>及时向编制部门报告实际在编在岗人数，调整“三定方案”，争取逐步解决政策性超编问题。</w:t>
      </w:r>
    </w:p>
    <w:p>
      <w:pPr>
        <w:pStyle w:val="13"/>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80" w:lineRule="exact"/>
        <w:ind w:right="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color w:val="auto"/>
          <w:sz w:val="32"/>
          <w:szCs w:val="32"/>
          <w:shd w:val="clear" w:color="auto" w:fill="FFFFFF"/>
          <w:lang w:eastAsia="zh-CN"/>
        </w:rPr>
        <w:t>加快</w:t>
      </w:r>
      <w:r>
        <w:rPr>
          <w:rFonts w:hint="eastAsia" w:ascii="仿宋_GB2312" w:hAnsi="仿宋_GB2312" w:eastAsia="仿宋_GB2312" w:cs="仿宋_GB2312"/>
          <w:b w:val="0"/>
          <w:bCs w:val="0"/>
          <w:color w:val="auto"/>
          <w:sz w:val="32"/>
          <w:szCs w:val="32"/>
          <w:shd w:val="clear" w:color="auto" w:fill="FFFFFF"/>
          <w:lang w:val="en-US" w:eastAsia="zh-CN"/>
        </w:rPr>
        <w:t>人才</w:t>
      </w:r>
      <w:r>
        <w:rPr>
          <w:rFonts w:hint="eastAsia" w:ascii="仿宋_GB2312" w:hAnsi="仿宋_GB2312" w:eastAsia="仿宋_GB2312" w:cs="仿宋_GB2312"/>
          <w:b w:val="0"/>
          <w:bCs w:val="0"/>
          <w:color w:val="auto"/>
          <w:sz w:val="32"/>
          <w:szCs w:val="32"/>
          <w:shd w:val="clear" w:color="auto" w:fill="FFFFFF"/>
          <w:lang w:eastAsia="zh-CN"/>
        </w:rPr>
        <w:t>队伍建设，提</w:t>
      </w:r>
      <w:r>
        <w:rPr>
          <w:rFonts w:hint="eastAsia" w:ascii="仿宋_GB2312" w:hAnsi="仿宋_GB2312" w:eastAsia="仿宋_GB2312" w:cs="仿宋_GB2312"/>
          <w:b w:val="0"/>
          <w:bCs w:val="0"/>
          <w:color w:val="auto"/>
          <w:sz w:val="32"/>
          <w:szCs w:val="32"/>
          <w:shd w:val="clear" w:color="auto" w:fill="FFFFFF"/>
          <w:lang w:val="en-US" w:eastAsia="zh-CN"/>
        </w:rPr>
        <w:t>升绩效</w:t>
      </w:r>
      <w:r>
        <w:rPr>
          <w:rFonts w:hint="eastAsia" w:ascii="仿宋_GB2312" w:hAnsi="仿宋_GB2312" w:eastAsia="仿宋_GB2312" w:cs="仿宋_GB2312"/>
          <w:b w:val="0"/>
          <w:bCs w:val="0"/>
          <w:color w:val="auto"/>
          <w:sz w:val="32"/>
          <w:szCs w:val="32"/>
          <w:shd w:val="clear" w:color="auto" w:fill="FFFFFF"/>
          <w:lang w:eastAsia="zh-CN"/>
        </w:rPr>
        <w:t>管理人员专业水平。</w:t>
      </w:r>
      <w:r>
        <w:rPr>
          <w:rFonts w:hint="eastAsia" w:ascii="仿宋_GB2312" w:hAnsi="仿宋_GB2312" w:eastAsia="仿宋_GB2312" w:cs="仿宋_GB2312"/>
          <w:b w:val="0"/>
          <w:bCs/>
          <w:color w:val="000000"/>
          <w:sz w:val="32"/>
          <w:szCs w:val="32"/>
          <w:shd w:val="clear" w:color="auto" w:fill="FFFFFF"/>
          <w:lang w:val="en-US" w:eastAsia="zh-CN"/>
        </w:rPr>
        <w:t>引进专业</w:t>
      </w:r>
      <w:r>
        <w:rPr>
          <w:rFonts w:hint="eastAsia" w:ascii="仿宋_GB2312" w:hAnsi="仿宋_GB2312" w:eastAsia="仿宋_GB2312" w:cs="仿宋_GB2312"/>
          <w:b w:val="0"/>
          <w:bCs/>
          <w:color w:val="000000"/>
          <w:sz w:val="32"/>
          <w:szCs w:val="32"/>
          <w:shd w:val="clear" w:color="auto" w:fill="FFFFFF"/>
          <w:lang w:eastAsia="zh-CN"/>
        </w:rPr>
        <w:t>人</w:t>
      </w:r>
      <w:r>
        <w:rPr>
          <w:rFonts w:hint="eastAsia" w:ascii="仿宋_GB2312" w:hAnsi="仿宋_GB2312" w:eastAsia="仿宋_GB2312" w:cs="仿宋_GB2312"/>
          <w:b w:val="0"/>
          <w:bCs/>
          <w:color w:val="000000"/>
          <w:sz w:val="32"/>
          <w:szCs w:val="32"/>
          <w:shd w:val="clear" w:color="auto" w:fill="FFFFFF"/>
          <w:lang w:val="en-US" w:eastAsia="zh-CN"/>
        </w:rPr>
        <w:t>才</w:t>
      </w:r>
      <w:r>
        <w:rPr>
          <w:rFonts w:hint="eastAsia" w:ascii="仿宋_GB2312" w:hAnsi="仿宋_GB2312" w:eastAsia="仿宋_GB2312" w:cs="仿宋_GB2312"/>
          <w:b w:val="0"/>
          <w:bCs/>
          <w:color w:val="000000"/>
          <w:sz w:val="32"/>
          <w:szCs w:val="32"/>
          <w:shd w:val="clear" w:color="auto" w:fill="FFFFFF"/>
          <w:lang w:eastAsia="zh-CN"/>
        </w:rPr>
        <w:t>，</w:t>
      </w:r>
      <w:r>
        <w:rPr>
          <w:rFonts w:hint="eastAsia" w:ascii="仿宋_GB2312" w:hAnsi="仿宋_GB2312" w:eastAsia="仿宋_GB2312" w:cs="仿宋_GB2312"/>
          <w:b w:val="0"/>
          <w:bCs/>
          <w:color w:val="000000"/>
          <w:sz w:val="32"/>
          <w:szCs w:val="32"/>
          <w:shd w:val="clear" w:color="auto" w:fill="FFFFFF"/>
          <w:lang w:val="en-US" w:eastAsia="zh-CN"/>
        </w:rPr>
        <w:t>充实</w:t>
      </w:r>
      <w:r>
        <w:rPr>
          <w:rFonts w:hint="eastAsia" w:ascii="仿宋_GB2312" w:hAnsi="仿宋_GB2312" w:eastAsia="仿宋_GB2312" w:cs="仿宋_GB2312"/>
          <w:b w:val="0"/>
          <w:bCs/>
          <w:color w:val="000000"/>
          <w:sz w:val="32"/>
          <w:szCs w:val="32"/>
          <w:shd w:val="clear" w:color="auto" w:fill="FFFFFF"/>
          <w:lang w:eastAsia="zh-CN"/>
        </w:rPr>
        <w:t>绩效管理</w:t>
      </w:r>
      <w:r>
        <w:rPr>
          <w:rFonts w:hint="eastAsia" w:ascii="仿宋_GB2312" w:hAnsi="仿宋_GB2312" w:eastAsia="仿宋_GB2312" w:cs="仿宋_GB2312"/>
          <w:b w:val="0"/>
          <w:bCs/>
          <w:color w:val="000000"/>
          <w:sz w:val="32"/>
          <w:szCs w:val="32"/>
          <w:shd w:val="clear" w:color="auto" w:fill="FFFFFF"/>
          <w:lang w:val="en-US" w:eastAsia="zh-CN"/>
        </w:rPr>
        <w:t>人才队伍</w:t>
      </w:r>
      <w:r>
        <w:rPr>
          <w:rFonts w:hint="eastAsia" w:ascii="仿宋_GB2312" w:hAnsi="仿宋_GB2312" w:eastAsia="仿宋_GB2312" w:cs="仿宋_GB2312"/>
          <w:b w:val="0"/>
          <w:bCs/>
          <w:color w:val="000000"/>
          <w:sz w:val="32"/>
          <w:szCs w:val="32"/>
          <w:shd w:val="clear" w:color="auto" w:fill="FFFFFF"/>
          <w:lang w:eastAsia="zh-CN"/>
        </w:rPr>
        <w:t>，加强</w:t>
      </w:r>
      <w:r>
        <w:rPr>
          <w:rFonts w:hint="eastAsia" w:ascii="仿宋_GB2312" w:hAnsi="仿宋_GB2312" w:eastAsia="仿宋_GB2312" w:cs="仿宋_GB2312"/>
          <w:b w:val="0"/>
          <w:bCs/>
          <w:color w:val="000000"/>
          <w:sz w:val="32"/>
          <w:szCs w:val="32"/>
          <w:shd w:val="clear" w:color="auto" w:fill="FFFFFF"/>
          <w:lang w:val="en-US" w:eastAsia="zh-CN"/>
        </w:rPr>
        <w:t>业务学习，提升绩效管理人员综合素质</w:t>
      </w:r>
      <w:r>
        <w:rPr>
          <w:rFonts w:hint="eastAsia" w:ascii="Times New Roman" w:hAnsi="Times New Roman" w:eastAsia="仿宋_GB2312" w:cs="仿宋_GB2312"/>
          <w:color w:val="000000"/>
          <w:sz w:val="32"/>
          <w:szCs w:val="32"/>
          <w:shd w:val="clear" w:color="auto" w:fill="FFFFFF"/>
          <w:lang w:eastAsia="zh-CN"/>
        </w:rPr>
        <w:t>。</w:t>
      </w:r>
      <w:r>
        <w:rPr>
          <w:rFonts w:hint="eastAsia" w:ascii="仿宋_GB2312" w:hAnsi="仿宋_GB2312" w:eastAsia="仿宋_GB2312" w:cs="仿宋_GB2312"/>
          <w:b w:val="0"/>
          <w:bCs/>
          <w:color w:val="000000"/>
          <w:sz w:val="32"/>
          <w:szCs w:val="32"/>
          <w:shd w:val="clear" w:color="auto" w:fill="FFFFFF"/>
          <w:lang w:val="en-US" w:eastAsia="zh-CN"/>
        </w:rPr>
        <w:t>同时，进一步强化部门间协作联动，</w:t>
      </w:r>
      <w:r>
        <w:rPr>
          <w:rFonts w:hint="eastAsia" w:ascii="仿宋_GB2312" w:hAnsi="仿宋_GB2312" w:eastAsia="仿宋_GB2312" w:cs="仿宋_GB2312"/>
          <w:b w:val="0"/>
          <w:bCs/>
          <w:color w:val="000000"/>
          <w:sz w:val="32"/>
          <w:szCs w:val="32"/>
          <w:shd w:val="clear" w:color="auto" w:fill="FFFFFF"/>
          <w:lang w:eastAsia="zh-CN"/>
        </w:rPr>
        <w:t>提</w:t>
      </w:r>
      <w:r>
        <w:rPr>
          <w:rFonts w:hint="eastAsia" w:ascii="仿宋_GB2312" w:hAnsi="仿宋_GB2312" w:eastAsia="仿宋_GB2312" w:cs="仿宋_GB2312"/>
          <w:b w:val="0"/>
          <w:bCs/>
          <w:color w:val="000000"/>
          <w:sz w:val="32"/>
          <w:szCs w:val="32"/>
          <w:shd w:val="clear" w:color="auto" w:fill="FFFFFF"/>
          <w:lang w:val="en-US" w:eastAsia="zh-CN"/>
        </w:rPr>
        <w:t>升</w:t>
      </w:r>
      <w:r>
        <w:rPr>
          <w:rFonts w:hint="eastAsia" w:ascii="仿宋_GB2312" w:hAnsi="仿宋_GB2312" w:eastAsia="仿宋_GB2312" w:cs="仿宋_GB2312"/>
          <w:b w:val="0"/>
          <w:bCs/>
          <w:color w:val="000000"/>
          <w:sz w:val="32"/>
          <w:szCs w:val="32"/>
          <w:shd w:val="clear" w:color="auto" w:fill="FFFFFF"/>
          <w:lang w:eastAsia="zh-CN"/>
        </w:rPr>
        <w:t>绩效管理</w:t>
      </w:r>
      <w:r>
        <w:rPr>
          <w:rFonts w:hint="eastAsia" w:ascii="仿宋_GB2312" w:hAnsi="仿宋_GB2312" w:eastAsia="仿宋_GB2312" w:cs="仿宋_GB2312"/>
          <w:b w:val="0"/>
          <w:bCs/>
          <w:color w:val="000000"/>
          <w:sz w:val="32"/>
          <w:szCs w:val="32"/>
          <w:shd w:val="clear" w:color="auto" w:fill="FFFFFF"/>
          <w:lang w:val="en-US" w:eastAsia="zh-CN"/>
        </w:rPr>
        <w:t>水</w:t>
      </w:r>
      <w:r>
        <w:rPr>
          <w:rFonts w:hint="eastAsia" w:ascii="仿宋_GB2312" w:hAnsi="仿宋_GB2312" w:eastAsia="仿宋_GB2312" w:cs="仿宋_GB2312"/>
          <w:b w:val="0"/>
          <w:bCs/>
          <w:color w:val="000000"/>
          <w:sz w:val="32"/>
          <w:szCs w:val="32"/>
          <w:shd w:val="clear" w:color="auto" w:fill="FFFFFF"/>
          <w:lang w:eastAsia="zh-CN"/>
        </w:rPr>
        <w:t>平。</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rPr>
      </w:pPr>
      <w:r>
        <w:rPr>
          <w:rFonts w:hint="eastAsia" w:ascii="仿宋_GB2312" w:hAnsi="仿宋_GB2312" w:eastAsia="仿宋_GB2312" w:cs="仿宋_GB2312"/>
          <w:b w:val="0"/>
          <w:bCs w:val="0"/>
          <w:color w:val="auto"/>
          <w:sz w:val="32"/>
          <w:szCs w:val="32"/>
          <w:lang w:val="en-US" w:eastAsia="zh-CN"/>
        </w:rPr>
        <w:t>（三）加强部门间交流沟通，合理预测项目实施进度，根据进度及时与财政部门沟通申请预算资金，完善支付手续，提高资金支付效率。</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pPr>
        <w:pStyle w:val="9"/>
        <w:keepNext w:val="0"/>
        <w:keepLines w:val="0"/>
        <w:pageBreakBefore w:val="0"/>
        <w:wordWrap/>
        <w:overflowPunct/>
        <w:topLinePunct w:val="0"/>
        <w:bidi w:val="0"/>
        <w:spacing w:line="560" w:lineRule="exact"/>
        <w:ind w:left="0" w:leftChars="0" w:firstLine="640" w:firstLineChars="200"/>
        <w:jc w:val="both"/>
        <w:rPr>
          <w:rFonts w:hint="eastAsia" w:ascii="黑体" w:hAnsi="黑体" w:eastAsia="黑体" w:cs="黑体"/>
          <w:sz w:val="32"/>
          <w:szCs w:val="32"/>
          <w:highlight w:val="none"/>
          <w:lang w:eastAsia="zh-CN"/>
        </w:rPr>
      </w:pPr>
      <w:r>
        <w:rPr>
          <w:rFonts w:hint="eastAsia" w:ascii="仿宋_GB2312" w:hAnsi="仿宋_GB2312" w:eastAsia="仿宋_GB2312" w:cs="仿宋_GB2312"/>
          <w:b w:val="0"/>
          <w:bCs w:val="0"/>
          <w:sz w:val="32"/>
          <w:szCs w:val="32"/>
        </w:rPr>
        <w:t>部门整体支出绩效自评结果</w:t>
      </w:r>
      <w:r>
        <w:rPr>
          <w:rFonts w:hint="eastAsia" w:ascii="仿宋_GB2312" w:hAnsi="仿宋_GB2312" w:eastAsia="仿宋_GB2312" w:cs="仿宋_GB2312"/>
          <w:b w:val="0"/>
          <w:bCs w:val="0"/>
          <w:sz w:val="32"/>
          <w:szCs w:val="32"/>
          <w:lang w:val="en-US" w:eastAsia="zh-CN"/>
        </w:rPr>
        <w:t>将作为完善本部门相关制度，改进资金管理的重要依据，同时，也将作为部门内部工作总结的参考依据。本部门的预算绩效目标、预算、决算及绩效评价均按相关规定及时在市住建局门户网站进行了公开，无其他需要说明的事项。</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default" w:ascii="Times New Roman" w:hAnsi="Times New Roman" w:eastAsia="黑体" w:cs="Times New Roman"/>
          <w:sz w:val="32"/>
          <w:szCs w:val="32"/>
          <w:highlight w:val="none"/>
        </w:rPr>
      </w:pPr>
    </w:p>
    <w:p>
      <w:pPr>
        <w:keepNext w:val="0"/>
        <w:keepLines w:val="0"/>
        <w:pageBreakBefore w:val="0"/>
        <w:widowControl/>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部门整体支出绩效评价基础数据表</w:t>
      </w:r>
    </w:p>
    <w:p>
      <w:pPr>
        <w:keepNext w:val="0"/>
        <w:keepLines w:val="0"/>
        <w:pageBreakBefore w:val="0"/>
        <w:widowControl/>
        <w:kinsoku/>
        <w:wordWrap/>
        <w:overflowPunct/>
        <w:topLinePunct w:val="0"/>
        <w:autoSpaceDE/>
        <w:autoSpaceDN/>
        <w:bidi w:val="0"/>
        <w:adjustRightInd/>
        <w:snapToGrid/>
        <w:spacing w:line="58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部门整体支出绩效自评表</w:t>
      </w:r>
    </w:p>
    <w:p>
      <w:pPr>
        <w:keepNext w:val="0"/>
        <w:keepLines w:val="0"/>
        <w:pageBreakBefore w:val="0"/>
        <w:widowControl/>
        <w:kinsoku/>
        <w:wordWrap/>
        <w:overflowPunct/>
        <w:topLinePunct w:val="0"/>
        <w:autoSpaceDE/>
        <w:autoSpaceDN/>
        <w:bidi w:val="0"/>
        <w:adjustRightInd/>
        <w:snapToGrid/>
        <w:spacing w:line="580" w:lineRule="exact"/>
        <w:ind w:firstLine="960" w:firstLineChars="3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项目支出绩效自评表（</w:t>
      </w:r>
      <w:r>
        <w:rPr>
          <w:rFonts w:hint="eastAsia" w:ascii="仿宋_GB2312" w:hAnsi="仿宋_GB2312" w:eastAsia="仿宋_GB2312" w:cs="仿宋_GB2312"/>
          <w:sz w:val="32"/>
          <w:szCs w:val="32"/>
          <w:lang w:val="en-US" w:eastAsia="zh-CN"/>
        </w:rPr>
        <w:t>3-1至3-29</w:t>
      </w:r>
      <w:r>
        <w:rPr>
          <w:rFonts w:hint="eastAsia" w:ascii="仿宋_GB2312" w:hAnsi="仿宋_GB2312" w:eastAsia="仿宋_GB2312" w:cs="仿宋_GB2312"/>
          <w:sz w:val="32"/>
          <w:szCs w:val="32"/>
        </w:rPr>
        <w:t>表）</w:t>
      </w:r>
    </w:p>
    <w:p>
      <w:pPr>
        <w:pStyle w:val="7"/>
        <w:keepNext w:val="0"/>
        <w:keepLines w:val="0"/>
        <w:pageBreakBefore w:val="0"/>
        <w:wordWrap/>
        <w:overflowPunct/>
        <w:topLinePunct w:val="0"/>
        <w:bidi w:val="0"/>
        <w:spacing w:line="580" w:lineRule="exact"/>
        <w:rPr>
          <w:rFonts w:hint="eastAsia" w:ascii="仿宋_GB2312" w:hAnsi="仿宋_GB2312" w:eastAsia="仿宋_GB2312" w:cs="仿宋_GB2312"/>
          <w:sz w:val="32"/>
          <w:szCs w:val="32"/>
        </w:rPr>
      </w:pPr>
    </w:p>
    <w:p>
      <w:pPr>
        <w:pStyle w:val="9"/>
        <w:keepNext w:val="0"/>
        <w:keepLines w:val="0"/>
        <w:pageBreakBefore w:val="0"/>
        <w:wordWrap/>
        <w:overflowPunct/>
        <w:topLinePunct w:val="0"/>
        <w:bidi w:val="0"/>
        <w:spacing w:line="580" w:lineRule="exact"/>
        <w:rPr>
          <w:rFonts w:hint="eastAsia" w:ascii="仿宋_GB2312" w:hAnsi="仿宋_GB2312" w:eastAsia="仿宋_GB2312" w:cs="仿宋_GB2312"/>
          <w:sz w:val="32"/>
          <w:szCs w:val="32"/>
        </w:rPr>
      </w:pPr>
    </w:p>
    <w:p>
      <w:pPr>
        <w:keepNext w:val="0"/>
        <w:keepLines w:val="0"/>
        <w:pageBreakBefore w:val="0"/>
        <w:wordWrap/>
        <w:overflowPunct/>
        <w:topLinePunct w:val="0"/>
        <w:bidi w:val="0"/>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岳阳市住房和城乡建设局</w:t>
      </w:r>
    </w:p>
    <w:p>
      <w:pPr>
        <w:pStyle w:val="7"/>
        <w:keepNext w:val="0"/>
        <w:keepLines w:val="0"/>
        <w:pageBreakBefore w:val="0"/>
        <w:wordWrap/>
        <w:overflowPunct/>
        <w:topLinePunct w:val="0"/>
        <w:bidi w:val="0"/>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2026年6月30日</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overflowPunct/>
        <w:topLinePunct w:val="0"/>
        <w:autoSpaceDE/>
        <w:autoSpaceDN/>
        <w:bidi w:val="0"/>
        <w:adjustRightInd/>
        <w:snapToGrid/>
        <w:spacing w:after="0" w:afterLines="0" w:line="500" w:lineRule="exact"/>
        <w:ind w:firstLine="320" w:firstLineChars="10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keepNext w:val="0"/>
        <w:keepLines w:val="0"/>
        <w:pageBreakBefore w:val="0"/>
        <w:widowControl w:val="0"/>
        <w:kinsoku/>
        <w:overflowPunct/>
        <w:topLinePunct w:val="0"/>
        <w:autoSpaceDE/>
        <w:autoSpaceDN/>
        <w:bidi w:val="0"/>
        <w:adjustRightInd/>
        <w:snapToGrid/>
        <w:spacing w:after="0" w:afterLines="0" w:line="240" w:lineRule="auto"/>
        <w:ind w:firstLine="320" w:firstLineChars="100"/>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after="120" w:afterLines="50" w:line="600" w:lineRule="exact"/>
        <w:jc w:val="center"/>
        <w:textAlignment w:val="auto"/>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5</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14"/>
        <w:tblW w:w="9673" w:type="dxa"/>
        <w:jc w:val="center"/>
        <w:tblLayout w:type="fixed"/>
        <w:tblCellMar>
          <w:top w:w="0" w:type="dxa"/>
          <w:left w:w="108" w:type="dxa"/>
          <w:bottom w:w="0" w:type="dxa"/>
          <w:right w:w="108" w:type="dxa"/>
        </w:tblCellMar>
      </w:tblPr>
      <w:tblGrid>
        <w:gridCol w:w="1677"/>
        <w:gridCol w:w="1677"/>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tblPrEx>
          <w:tblCellMar>
            <w:top w:w="0" w:type="dxa"/>
            <w:left w:w="108" w:type="dxa"/>
            <w:bottom w:w="0" w:type="dxa"/>
            <w:right w:w="108" w:type="dxa"/>
          </w:tblCellMar>
        </w:tblPrEx>
        <w:trPr>
          <w:trHeight w:val="0" w:hRule="atLeast"/>
          <w:jc w:val="center"/>
        </w:trPr>
        <w:tc>
          <w:tcPr>
            <w:tcW w:w="33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411</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404</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98.30%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5</w:t>
            </w:r>
            <w:r>
              <w:rPr>
                <w:rFonts w:hint="eastAsia" w:ascii="仿宋_GB2312" w:hAnsi="仿宋_GB2312" w:eastAsia="仿宋_GB2312" w:cs="仿宋_GB2312"/>
                <w:b/>
                <w:bCs/>
                <w:sz w:val="20"/>
                <w:szCs w:val="20"/>
                <w:highlight w:val="none"/>
              </w:rPr>
              <w:t>年决算数</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23.88</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8.25</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11.36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8.25</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0.00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11.36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8.25</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12.10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0.42</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1.5</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39360.03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86930.4</w:t>
            </w: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42011.41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224.03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152.97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150.95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27</w:t>
            </w:r>
            <w:r>
              <w:rPr>
                <w:rFonts w:hint="eastAsia" w:ascii="仿宋_GB2312" w:hAnsi="仿宋_GB2312" w:eastAsia="仿宋_GB2312" w:cs="仿宋_GB2312"/>
                <w:sz w:val="20"/>
                <w:szCs w:val="20"/>
                <w:highlight w:val="none"/>
                <w:lang w:val="en-US" w:eastAsia="zh-CN"/>
              </w:rPr>
              <w:t>.00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38.59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38.59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39109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86738.84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41821.87　</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r>
              <w:rPr>
                <w:rFonts w:hint="eastAsia" w:ascii="仿宋_GB2312" w:hAnsi="仿宋_GB2312" w:eastAsia="仿宋_GB2312" w:cs="仿宋_GB2312"/>
                <w:color w:val="000000"/>
                <w:sz w:val="20"/>
                <w:szCs w:val="20"/>
                <w:highlight w:val="none"/>
              </w:rPr>
              <w:t>日常工作经费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309.84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228.99</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228.99</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r>
              <w:rPr>
                <w:rFonts w:hint="eastAsia" w:ascii="仿宋_GB2312" w:hAnsi="仿宋_GB2312" w:eastAsia="仿宋_GB2312" w:cs="仿宋_GB2312"/>
                <w:color w:val="000000"/>
                <w:sz w:val="20"/>
                <w:szCs w:val="20"/>
                <w:highlight w:val="none"/>
              </w:rPr>
              <w:t>施工图审查经费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299.96</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238.54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238.5</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城市管网及污水处理补助</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724.4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1429.83</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504.63</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r>
              <w:rPr>
                <w:rFonts w:hint="eastAsia" w:ascii="仿宋_GB2312" w:hAnsi="仿宋_GB2312" w:eastAsia="仿宋_GB2312" w:cs="仿宋_GB2312"/>
                <w:color w:val="000000"/>
                <w:sz w:val="20"/>
                <w:szCs w:val="20"/>
                <w:highlight w:val="none"/>
              </w:rPr>
              <w:t>四中人行天桥项目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109.94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19.91</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r>
              <w:rPr>
                <w:rFonts w:hint="eastAsia" w:ascii="仿宋_GB2312" w:hAnsi="仿宋_GB2312" w:eastAsia="仿宋_GB2312" w:cs="仿宋_GB2312"/>
                <w:color w:val="000000"/>
                <w:sz w:val="20"/>
                <w:szCs w:val="20"/>
                <w:highlight w:val="none"/>
              </w:rPr>
              <w:t>城市更新示范项目前期经费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254.68</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247.08</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r>
              <w:rPr>
                <w:rFonts w:hint="eastAsia" w:ascii="仿宋_GB2312" w:hAnsi="仿宋_GB2312" w:eastAsia="仿宋_GB2312" w:cs="仿宋_GB2312"/>
                <w:color w:val="000000"/>
                <w:sz w:val="20"/>
                <w:szCs w:val="20"/>
                <w:highlight w:val="none"/>
              </w:rPr>
              <w:t>历史文化名城专项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117.33</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107.44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106.77</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r>
              <w:rPr>
                <w:rFonts w:hint="eastAsia" w:ascii="仿宋_GB2312" w:hAnsi="仿宋_GB2312" w:eastAsia="仿宋_GB2312" w:cs="仿宋_GB2312"/>
                <w:color w:val="000000"/>
                <w:sz w:val="20"/>
                <w:szCs w:val="20"/>
                <w:highlight w:val="none"/>
              </w:rPr>
              <w:t>求索西路项目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74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1526</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1524</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r>
              <w:rPr>
                <w:rFonts w:hint="eastAsia" w:ascii="仿宋_GB2312" w:hAnsi="仿宋_GB2312" w:eastAsia="仿宋_GB2312" w:cs="仿宋_GB2312"/>
                <w:color w:val="000000"/>
                <w:sz w:val="20"/>
                <w:szCs w:val="20"/>
                <w:highlight w:val="none"/>
              </w:rPr>
              <w:t>住房城乡建设引导专项资金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14.04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130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88.59</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城建维护经费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19.45</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100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100</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保障性住房购置专项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5000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4496.25</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(11)</w:t>
            </w:r>
            <w:r>
              <w:rPr>
                <w:rFonts w:hint="eastAsia" w:ascii="仿宋_GB2312" w:hAnsi="仿宋_GB2312" w:eastAsia="仿宋_GB2312" w:cs="仿宋_GB2312"/>
                <w:color w:val="000000"/>
                <w:sz w:val="20"/>
                <w:szCs w:val="20"/>
                <w:highlight w:val="none"/>
              </w:rPr>
              <w:t>自贸试验区制度创新激励资金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5</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4.99</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岳阳市住房和城乡建设局</w:t>
            </w:r>
            <w:r>
              <w:rPr>
                <w:rFonts w:hint="eastAsia" w:ascii="仿宋_GB2312" w:hAnsi="仿宋_GB2312" w:eastAsia="仿宋_GB2312" w:cs="仿宋_GB2312"/>
                <w:color w:val="000000"/>
                <w:sz w:val="20"/>
                <w:szCs w:val="20"/>
                <w:highlight w:val="none"/>
                <w:lang w:val="en-US" w:eastAsia="zh-CN"/>
              </w:rPr>
              <w:t>本级</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w:t>
            </w:r>
            <w:r>
              <w:rPr>
                <w:rFonts w:hint="eastAsia" w:ascii="仿宋_GB2312" w:hAnsi="仿宋_GB2312" w:eastAsia="仿宋_GB2312" w:cs="仿宋_GB2312"/>
                <w:color w:val="000000"/>
                <w:sz w:val="20"/>
                <w:szCs w:val="20"/>
                <w:highlight w:val="none"/>
              </w:rPr>
              <w:t>企业军转干部资金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15.8</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6.74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6.74</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岳阳市城市建设档案馆</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(14)日常工作经费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120.89</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50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50</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岳阳市城市建设档案馆</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(15)城市管网及污水处理补助</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409.89</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881.03</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289.16</w:t>
            </w:r>
          </w:p>
        </w:tc>
      </w:tr>
      <w:tr>
        <w:tblPrEx>
          <w:tblCellMar>
            <w:top w:w="0" w:type="dxa"/>
            <w:left w:w="108" w:type="dxa"/>
            <w:bottom w:w="0" w:type="dxa"/>
            <w:right w:w="108" w:type="dxa"/>
          </w:tblCellMar>
        </w:tblPrEx>
        <w:trPr>
          <w:trHeight w:val="665"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岳阳市城市建设档案馆</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(16)公共服务设施管理专项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12</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12</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color w:val="000000"/>
                <w:sz w:val="20"/>
                <w:szCs w:val="20"/>
                <w:highlight w:val="none"/>
                <w:lang w:val="en-US" w:eastAsia="zh-CN"/>
              </w:rPr>
              <w:t>(17)2025年其他资金（包含征收项目管理经费，党建工作经费）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74.8</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74.8</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color w:val="000000"/>
                <w:sz w:val="20"/>
                <w:szCs w:val="20"/>
                <w:highlight w:val="none"/>
                <w:lang w:val="en-US" w:eastAsia="zh-CN"/>
              </w:rPr>
              <w:t>(18)</w:t>
            </w:r>
            <w:r>
              <w:rPr>
                <w:rFonts w:hint="eastAsia" w:ascii="仿宋_GB2312" w:hAnsi="仿宋_GB2312" w:eastAsia="仿宋_GB2312" w:cs="仿宋_GB2312"/>
                <w:sz w:val="20"/>
                <w:szCs w:val="20"/>
              </w:rPr>
              <w:t>财政补助（城市管网及污水补助资金）</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lang w:val="en-US" w:eastAsia="zh-CN"/>
              </w:rPr>
              <w:t>包含西环线项目，青年路小学项目，市委大院项目，市人大项目，洞庭大桥项目，306省道九华山项目，市城区地下综合管线普查和信息系统建设项目，海绵城市监测平台二期</w:t>
            </w:r>
            <w:r>
              <w:rPr>
                <w:rFonts w:hint="eastAsia" w:ascii="仿宋_GB2312" w:hAnsi="仿宋_GB2312" w:eastAsia="仿宋_GB2312" w:cs="仿宋_GB2312"/>
                <w:sz w:val="20"/>
                <w:szCs w:val="20"/>
                <w:lang w:eastAsia="zh-CN"/>
              </w:rPr>
              <w:t>）</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17122.71</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7343.39</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2932.23</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794"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(19)</w:t>
            </w:r>
            <w:r>
              <w:rPr>
                <w:rFonts w:hint="eastAsia" w:ascii="仿宋_GB2312" w:hAnsi="仿宋_GB2312" w:eastAsia="仿宋_GB2312" w:cs="仿宋_GB2312"/>
                <w:sz w:val="20"/>
                <w:szCs w:val="20"/>
                <w:highlight w:val="none"/>
                <w:lang w:val="en-US" w:eastAsia="zh-CN"/>
              </w:rPr>
              <w:t>恒大保交楼项目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FF0000"/>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2848.15</w:t>
            </w:r>
            <w:r>
              <w:rPr>
                <w:rFonts w:hint="eastAsia" w:ascii="仿宋_GB2312" w:hAnsi="仿宋_GB2312" w:eastAsia="仿宋_GB2312" w:cs="仿宋_GB2312"/>
                <w:color w:val="FF0000"/>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　</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5151.84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2470.57</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w:t>
            </w:r>
            <w:r>
              <w:rPr>
                <w:rFonts w:hint="eastAsia" w:ascii="仿宋_GB2312" w:hAnsi="仿宋_GB2312" w:eastAsia="仿宋_GB2312" w:cs="仿宋_GB2312"/>
                <w:sz w:val="20"/>
                <w:szCs w:val="20"/>
                <w:highlight w:val="none"/>
                <w:lang w:val="en-US" w:eastAsia="zh-CN"/>
              </w:rPr>
              <w:t>地下管网及设施专项资金（包含南津港污水处理厂及配套污水管网项目，罗家坡污水处理厂及配套污水管网项目，南津港片区地下管网改造项目，马壕片区排水防涝设施建设项目，金东门片区排水防涝建设项目）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FF0000"/>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16550</w:t>
            </w:r>
            <w:r>
              <w:rPr>
                <w:rFonts w:hint="eastAsia" w:ascii="仿宋_GB2312" w:hAnsi="仿宋_GB2312" w:eastAsia="仿宋_GB2312" w:cs="仿宋_GB2312"/>
                <w:color w:val="FF0000"/>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58034</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22966.81</w:t>
            </w:r>
            <w:r>
              <w:rPr>
                <w:rFonts w:hint="eastAsia" w:ascii="仿宋_GB2312" w:hAnsi="仿宋_GB2312" w:eastAsia="仿宋_GB2312" w:cs="仿宋_GB2312"/>
                <w:color w:val="000000" w:themeColor="text1"/>
                <w:sz w:val="20"/>
                <w:szCs w:val="20"/>
                <w:highlight w:val="none"/>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(21)</w:t>
            </w:r>
            <w:r>
              <w:rPr>
                <w:rFonts w:hint="eastAsia" w:ascii="仿宋_GB2312" w:hAnsi="仿宋_GB2312" w:eastAsia="仿宋_GB2312" w:cs="仿宋_GB2312"/>
                <w:sz w:val="20"/>
                <w:szCs w:val="20"/>
                <w:highlight w:val="none"/>
              </w:rPr>
              <w:t>金凤桥路临时截污管网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40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30.73</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(22)</w:t>
            </w:r>
            <w:r>
              <w:rPr>
                <w:rFonts w:hint="eastAsia" w:ascii="仿宋_GB2312" w:hAnsi="仿宋_GB2312" w:eastAsia="仿宋_GB2312" w:cs="仿宋_GB2312"/>
                <w:sz w:val="20"/>
                <w:szCs w:val="20"/>
                <w:highlight w:val="none"/>
              </w:rPr>
              <w:t>西环线人行天桥项目</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400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309.5</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岳阳市城乡建设事务中心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(23)</w:t>
            </w:r>
            <w:r>
              <w:rPr>
                <w:rFonts w:hint="eastAsia" w:ascii="仿宋_GB2312" w:hAnsi="仿宋_GB2312" w:eastAsia="仿宋_GB2312" w:cs="仿宋_GB2312"/>
                <w:sz w:val="20"/>
                <w:szCs w:val="20"/>
                <w:highlight w:val="none"/>
              </w:rPr>
              <w:t>洞庭湖大桥桥下场地和景观设计</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270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color w:val="000000" w:themeColor="text1"/>
                <w:kern w:val="2"/>
                <w:sz w:val="20"/>
                <w:szCs w:val="20"/>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139.02</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岳阳市污水处理监督中心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(24)市污水处理监督中心运行经费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143.76</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161.03</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102.54</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岳阳市污水处理监督中心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(25)城市管网及污水处理补助（污水处理监督系统）</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123.13</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40.25</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2.4</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岳阳市绿色建筑产业发展服务中心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(26)日常工作经费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21.28</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20.68</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岳阳市绿色建筑产业发展服务中心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(27)省级绿色建造、浅层地热能建筑规模化应用度点补助资金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172.5</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172.5</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岳阳市房地产市场服务中心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(28)防范化解房地产项目风险工作经费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17.2</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岳阳市房地产市场服务中心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(29)房产开发事务管理经费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27.64</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岳阳市房地产市场服务中心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(30)项目资本金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67.5</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kern w:val="2"/>
                <w:sz w:val="20"/>
                <w:szCs w:val="20"/>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24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kern w:val="2"/>
                <w:sz w:val="20"/>
                <w:szCs w:val="20"/>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24</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岳阳市房地产市场服务中心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(31)日常工作经费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kern w:val="2"/>
                <w:sz w:val="20"/>
                <w:szCs w:val="20"/>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53.4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53.3</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岳阳市房地产市场服务中心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(32)其他资金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kern w:val="2"/>
                <w:sz w:val="20"/>
                <w:szCs w:val="20"/>
                <w:highlight w:val="none"/>
                <w:lang w:val="en-US" w:eastAsia="zh-CN" w:bidi="ar-SA"/>
              </w:rPr>
            </w:pPr>
            <w:r>
              <w:rPr>
                <w:rFonts w:hint="eastAsia" w:ascii="宋体" w:hAnsi="宋体" w:eastAsia="宋体" w:cs="宋体"/>
                <w:i w:val="0"/>
                <w:iCs w:val="0"/>
                <w:color w:val="000000"/>
                <w:kern w:val="0"/>
                <w:sz w:val="18"/>
                <w:szCs w:val="18"/>
                <w:u w:val="none"/>
                <w:lang w:val="en-US" w:eastAsia="zh-CN" w:bidi="ar"/>
              </w:rPr>
              <w:t>3.02</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3.02</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岳阳市住房保障服务中心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(33)枫桥湖廉租房小区经济适用房办证费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13.70</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13.18</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rPr>
              <w:t>岳阳市住房保障服务中心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(34)其他资金支出（收购恒大商品房用作保障性住房购置资金）</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4287.58</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4287.58</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岳阳市住房保障服务中心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(35)其他资金支出（其他资金结余）</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206.32</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16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岳阳市住房保障服务中心</w:t>
            </w:r>
          </w:p>
        </w:tc>
        <w:tc>
          <w:tcPr>
            <w:tcW w:w="16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(36)2024年单位指标结余结转</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206.74</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146.90</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949.26</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872.19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848.12</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623.24</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614.32</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614.32</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100.95</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173.35</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173.35</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2.77</w:t>
            </w:r>
            <w:r>
              <w:rPr>
                <w:rFonts w:hint="eastAsia" w:ascii="仿宋_GB2312" w:hAnsi="仿宋_GB2312" w:eastAsia="仿宋_GB2312" w:cs="仿宋_GB2312"/>
                <w:color w:val="auto"/>
                <w:sz w:val="20"/>
                <w:szCs w:val="20"/>
                <w:highlight w:val="none"/>
              </w:rPr>
              <w:t>　</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10.91</w:t>
            </w:r>
            <w:r>
              <w:rPr>
                <w:rFonts w:hint="eastAsia" w:ascii="仿宋_GB2312" w:hAnsi="仿宋_GB2312" w:eastAsia="仿宋_GB2312" w:cs="仿宋_GB2312"/>
                <w:color w:val="auto"/>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10.91</w:t>
            </w:r>
            <w:r>
              <w:rPr>
                <w:rFonts w:hint="eastAsia" w:ascii="仿宋_GB2312" w:hAnsi="仿宋_GB2312" w:eastAsia="仿宋_GB2312" w:cs="仿宋_GB2312"/>
                <w:color w:val="auto"/>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8198.66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8165.69</w:t>
            </w:r>
            <w:r>
              <w:rPr>
                <w:rFonts w:hint="eastAsia" w:ascii="仿宋_GB2312" w:hAnsi="仿宋_GB2312" w:eastAsia="仿宋_GB2312" w:cs="仿宋_GB2312"/>
                <w:sz w:val="20"/>
                <w:szCs w:val="20"/>
                <w:highlight w:val="none"/>
              </w:rPr>
              <w:t>　</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9023.56</w:t>
            </w:r>
          </w:p>
        </w:tc>
        <w:tc>
          <w:tcPr>
            <w:tcW w:w="204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8907.16</w:t>
            </w:r>
          </w:p>
        </w:tc>
      </w:tr>
      <w:tr>
        <w:tblPrEx>
          <w:tblCellMar>
            <w:top w:w="0" w:type="dxa"/>
            <w:left w:w="108" w:type="dxa"/>
            <w:bottom w:w="0" w:type="dxa"/>
            <w:right w:w="108" w:type="dxa"/>
          </w:tblCellMar>
        </w:tblPrEx>
        <w:trPr>
          <w:trHeight w:val="0" w:hRule="atLeast"/>
          <w:jc w:val="center"/>
        </w:trPr>
        <w:tc>
          <w:tcPr>
            <w:tcW w:w="335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5</w:t>
            </w:r>
            <w:r>
              <w:rPr>
                <w:rFonts w:hint="eastAsia" w:ascii="仿宋_GB2312" w:hAnsi="仿宋_GB2312" w:eastAsia="仿宋_GB2312" w:cs="仿宋_GB2312"/>
                <w:sz w:val="20"/>
                <w:szCs w:val="20"/>
                <w:highlight w:val="none"/>
              </w:rPr>
              <w:t>年完工项目）</w:t>
            </w:r>
          </w:p>
        </w:tc>
        <w:tc>
          <w:tcPr>
            <w:tcW w:w="11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tblPrEx>
          <w:tblCellMar>
            <w:top w:w="0" w:type="dxa"/>
            <w:left w:w="108" w:type="dxa"/>
            <w:bottom w:w="0" w:type="dxa"/>
            <w:right w:w="108" w:type="dxa"/>
          </w:tblCellMar>
        </w:tblPrEx>
        <w:trPr>
          <w:trHeight w:val="0" w:hRule="atLeast"/>
          <w:jc w:val="center"/>
        </w:trPr>
        <w:tc>
          <w:tcPr>
            <w:tcW w:w="33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0"/>
                <w:szCs w:val="20"/>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r>
              <w:rPr>
                <w:rFonts w:hint="eastAsia" w:ascii="仿宋_GB2312" w:hAnsi="仿宋_GB2312" w:eastAsia="仿宋_GB2312" w:cs="仿宋_GB2312"/>
                <w:sz w:val="20"/>
                <w:szCs w:val="20"/>
                <w:highlight w:val="none"/>
              </w:rPr>
              <w:t>　</w:t>
            </w:r>
          </w:p>
        </w:tc>
        <w:tc>
          <w:tcPr>
            <w:tcW w:w="8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1.牢固树立</w:t>
            </w:r>
            <w:r>
              <w:rPr>
                <w:rFonts w:hint="eastAsia" w:ascii="仿宋_GB2312" w:hAnsi="仿宋_GB2312" w:eastAsia="仿宋_GB2312" w:cs="仿宋_GB2312"/>
                <w:color w:val="auto"/>
                <w:sz w:val="20"/>
                <w:szCs w:val="20"/>
                <w:lang w:val="en-US" w:eastAsia="zh-CN"/>
              </w:rPr>
              <w:t>过“紧日子”思想，</w:t>
            </w:r>
            <w:r>
              <w:rPr>
                <w:rFonts w:hint="eastAsia" w:ascii="仿宋_GB2312" w:hAnsi="仿宋_GB2312" w:eastAsia="仿宋_GB2312" w:cs="仿宋_GB2312"/>
                <w:sz w:val="20"/>
                <w:szCs w:val="20"/>
                <w:lang w:val="en-US" w:eastAsia="zh-CN"/>
              </w:rPr>
              <w:t>坚持</w:t>
            </w:r>
            <w:r>
              <w:rPr>
                <w:rFonts w:hint="eastAsia" w:ascii="仿宋_GB2312" w:hAnsi="仿宋_GB2312" w:eastAsia="仿宋_GB2312" w:cs="仿宋_GB2312"/>
                <w:sz w:val="20"/>
                <w:szCs w:val="20"/>
              </w:rPr>
              <w:t>厉行节约</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sz w:val="20"/>
                <w:szCs w:val="20"/>
                <w:lang w:val="en-US" w:eastAsia="zh-CN"/>
              </w:rPr>
              <w:t>精打细算，压减一般性支出</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bCs/>
                <w:sz w:val="20"/>
                <w:szCs w:val="20"/>
                <w:highlight w:val="none"/>
                <w:lang w:val="en-US" w:eastAsia="zh-CN"/>
              </w:rPr>
              <w:t>加强事前绩效评估管理，坚持先定事，再确定资金支出规模，确保资金支出效益。</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进一步优化管理制度，抓制度落实，控制费用增长。根据岳阳市《会议费管理办法》、《岳阳市行政机关事业单位招待费管理办法》《岳阳市行政机关事业单位培训费管理办法》等制度，结合部门实际情况，进一步优化了各项管理制度，并遵照执行。</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3.定期开展“三资”清查和资产盘点工作，提升资产资源使用效益。按照厉行节约、物尽其用的原则，闲置资产按程序合理流转，发挥其使用效益，以最精简的资产保障部门履职和事业发展。　</w:t>
            </w:r>
          </w:p>
        </w:tc>
      </w:tr>
    </w:tbl>
    <w:p>
      <w:pPr>
        <w:keepNext w:val="0"/>
        <w:keepLines w:val="0"/>
        <w:pageBreakBefore w:val="0"/>
        <w:widowControl w:val="0"/>
        <w:kinsoku/>
        <w:overflowPunct/>
        <w:topLinePunct w:val="0"/>
        <w:autoSpaceDE/>
        <w:autoSpaceDN/>
        <w:bidi w:val="0"/>
        <w:adjustRightInd/>
        <w:snapToGrid/>
        <w:spacing w:afterLines="0" w:line="400" w:lineRule="exact"/>
        <w:ind w:left="660" w:hanging="660" w:hangingChars="300"/>
        <w:jc w:val="left"/>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pPr>
        <w:keepNext w:val="0"/>
        <w:keepLines w:val="0"/>
        <w:pageBreakBefore w:val="0"/>
        <w:widowControl w:val="0"/>
        <w:kinsoku/>
        <w:overflowPunct/>
        <w:topLinePunct w:val="0"/>
        <w:autoSpaceDE/>
        <w:autoSpaceDN/>
        <w:bidi w:val="0"/>
        <w:adjustRightInd/>
        <w:snapToGrid/>
        <w:spacing w:afterLines="0" w:line="400" w:lineRule="exact"/>
        <w:jc w:val="left"/>
        <w:textAlignment w:val="auto"/>
        <w:rPr>
          <w:rFonts w:hint="default" w:ascii="Times New Roman" w:hAnsi="Times New Roman" w:eastAsia="仿宋_GB2312" w:cs="Times New Roman"/>
          <w:sz w:val="22"/>
          <w:highlight w:val="none"/>
        </w:rPr>
      </w:pPr>
    </w:p>
    <w:p>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2025.6.30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pPr>
        <w:keepNext w:val="0"/>
        <w:keepLines w:val="0"/>
        <w:pageBreakBefore w:val="0"/>
        <w:widowControl w:val="0"/>
        <w:kinsoku/>
        <w:overflowPunct/>
        <w:topLinePunct w:val="0"/>
        <w:autoSpaceDE/>
        <w:autoSpaceDN/>
        <w:bidi w:val="0"/>
        <w:adjustRightInd/>
        <w:snapToGrid/>
        <w:spacing w:after="0" w:afterLines="0"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after="120" w:afterLines="50"/>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14"/>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2"/>
                <w:szCs w:val="22"/>
                <w:lang w:eastAsia="zh-CN"/>
              </w:rPr>
              <w:t>岳阳市住房和城乡建设局汇总</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bookmarkStart w:id="5" w:name="_GoBack" w:colFirst="6" w:colLast="6"/>
          </w:p>
        </w:tc>
        <w:tc>
          <w:tcPr>
            <w:tcW w:w="2114"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default" w:ascii="仿宋_GB2312" w:hAnsi="仿宋_GB2312" w:eastAsia="仿宋_GB2312" w:cs="仿宋_GB2312"/>
                <w:sz w:val="20"/>
                <w:szCs w:val="20"/>
                <w:highlight w:val="none"/>
                <w:lang w:val="en-US" w:eastAsia="zh-CN"/>
              </w:rPr>
              <w:t>8345.71</w:t>
            </w:r>
          </w:p>
        </w:tc>
        <w:tc>
          <w:tcPr>
            <w:tcW w:w="1311"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default" w:ascii="仿宋_GB2312" w:hAnsi="仿宋_GB2312" w:eastAsia="仿宋_GB2312" w:cs="仿宋_GB2312"/>
                <w:sz w:val="20"/>
                <w:szCs w:val="20"/>
                <w:highlight w:val="none"/>
                <w:lang w:val="en-US" w:eastAsia="zh-CN"/>
              </w:rPr>
              <w:t>93963.57</w:t>
            </w:r>
          </w:p>
        </w:tc>
        <w:tc>
          <w:tcPr>
            <w:tcW w:w="1269"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default" w:ascii="仿宋_GB2312" w:hAnsi="仿宋_GB2312" w:eastAsia="仿宋_GB2312" w:cs="仿宋_GB2312"/>
                <w:sz w:val="20"/>
                <w:szCs w:val="20"/>
                <w:highlight w:val="none"/>
                <w:lang w:val="en-US" w:eastAsia="zh-CN"/>
              </w:rPr>
              <w:t>51050.20</w:t>
            </w:r>
          </w:p>
        </w:tc>
        <w:tc>
          <w:tcPr>
            <w:tcW w:w="71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54.33%</w:t>
            </w:r>
          </w:p>
        </w:tc>
        <w:tc>
          <w:tcPr>
            <w:tcW w:w="1446" w:type="dxa"/>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5.43</w:t>
            </w:r>
          </w:p>
        </w:tc>
      </w:tr>
      <w:bookmarkEnd w:id="5"/>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一般公共预算：23888.66</w:t>
            </w:r>
          </w:p>
        </w:tc>
        <w:tc>
          <w:tcPr>
            <w:tcW w:w="4304"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其中：基本支出：8907.16</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ind w:firstLine="800" w:firstLineChars="4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政府性基金拨款：22532.80</w:t>
            </w:r>
          </w:p>
        </w:tc>
        <w:tc>
          <w:tcPr>
            <w:tcW w:w="4304"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ind w:firstLine="600" w:firstLineChars="3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项目支出：42011.41</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纳入专户管理的非税收入拨款：</w:t>
            </w:r>
            <w:r>
              <w:rPr>
                <w:rFonts w:hint="eastAsia" w:ascii="仿宋_GB2312" w:hAnsi="仿宋_GB2312" w:eastAsia="仿宋_GB2312" w:cs="仿宋_GB2312"/>
                <w:color w:val="000000"/>
                <w:sz w:val="20"/>
                <w:szCs w:val="20"/>
                <w:highlight w:val="none"/>
                <w:lang w:val="en-US" w:eastAsia="zh-CN"/>
              </w:rPr>
              <w:t>0</w:t>
            </w:r>
          </w:p>
        </w:tc>
        <w:tc>
          <w:tcPr>
            <w:tcW w:w="4304"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ind w:firstLine="1400" w:firstLineChars="7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其他资金：4628.74</w:t>
            </w:r>
          </w:p>
        </w:tc>
        <w:tc>
          <w:tcPr>
            <w:tcW w:w="4304" w:type="dxa"/>
            <w:gridSpan w:val="4"/>
            <w:tcBorders>
              <w:top w:val="nil"/>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trHeight w:val="783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lang w:eastAsia="zh-CN"/>
              </w:rPr>
              <w:t>1.全力保障单位正常履职运转；</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eastAsia="zh-CN"/>
              </w:rPr>
              <w:t>2.推动城市更新，推进老旧改造，</w:t>
            </w:r>
            <w:r>
              <w:rPr>
                <w:rFonts w:hint="eastAsia" w:ascii="仿宋_GB2312" w:hAnsi="仿宋_GB2312" w:eastAsia="仿宋_GB2312" w:cs="仿宋_GB2312"/>
                <w:color w:val="000000"/>
                <w:sz w:val="24"/>
                <w:szCs w:val="24"/>
                <w:highlight w:val="none"/>
                <w:lang w:val="en-US" w:eastAsia="zh-CN"/>
              </w:rPr>
              <w:t>加大住房保障力度，加速乡镇污水治理；</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eastAsia="zh-CN"/>
              </w:rPr>
            </w:pPr>
            <w:r>
              <w:rPr>
                <w:rFonts w:hint="eastAsia" w:ascii="仿宋_GB2312" w:hAnsi="仿宋_GB2312" w:eastAsia="仿宋_GB2312" w:cs="仿宋_GB2312"/>
                <w:color w:val="000000"/>
                <w:sz w:val="24"/>
                <w:szCs w:val="24"/>
                <w:highlight w:val="none"/>
                <w:lang w:val="en-US" w:eastAsia="zh-CN"/>
              </w:rPr>
              <w:t>3.稳定产业经济，持续做好保交房，支持企业降本增效；</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eastAsia="zh-CN"/>
              </w:rPr>
              <w:t>4.提升城市品质，</w:t>
            </w:r>
            <w:r>
              <w:rPr>
                <w:rFonts w:hint="eastAsia" w:ascii="仿宋_GB2312" w:hAnsi="仿宋_GB2312" w:eastAsia="仿宋_GB2312" w:cs="仿宋_GB2312"/>
                <w:color w:val="000000"/>
                <w:sz w:val="24"/>
                <w:szCs w:val="24"/>
                <w:highlight w:val="none"/>
                <w:lang w:val="en-US" w:eastAsia="zh-CN"/>
              </w:rPr>
              <w:t>推进海绵城市建设，推动绿色转型，</w:t>
            </w:r>
            <w:r>
              <w:rPr>
                <w:rFonts w:hint="eastAsia" w:ascii="仿宋_GB2312" w:hAnsi="仿宋_GB2312" w:eastAsia="仿宋_GB2312" w:cs="仿宋_GB2312"/>
                <w:color w:val="000000"/>
                <w:sz w:val="24"/>
                <w:szCs w:val="24"/>
                <w:highlight w:val="none"/>
                <w:lang w:eastAsia="zh-CN"/>
              </w:rPr>
              <w:t>加速历史文化名城保护</w:t>
            </w:r>
            <w:r>
              <w:rPr>
                <w:rFonts w:hint="eastAsia" w:ascii="仿宋_GB2312" w:hAnsi="仿宋_GB2312" w:eastAsia="仿宋_GB2312" w:cs="仿宋_GB2312"/>
                <w:color w:val="000000"/>
                <w:sz w:val="24"/>
                <w:szCs w:val="24"/>
                <w:highlight w:val="none"/>
                <w:lang w:val="en-US" w:eastAsia="zh-CN"/>
              </w:rPr>
              <w:t>；</w:t>
            </w:r>
            <w:r>
              <w:rPr>
                <w:rFonts w:hint="eastAsia" w:ascii="仿宋_GB2312" w:hAnsi="仿宋_GB2312" w:eastAsia="仿宋_GB2312" w:cs="仿宋_GB2312"/>
                <w:color w:val="000000"/>
                <w:sz w:val="24"/>
                <w:szCs w:val="24"/>
                <w:highlight w:val="none"/>
                <w:lang w:eastAsia="zh-CN"/>
              </w:rPr>
              <w:br w:type="textWrapping"/>
            </w:r>
            <w:r>
              <w:rPr>
                <w:rFonts w:hint="eastAsia" w:ascii="仿宋_GB2312" w:hAnsi="仿宋_GB2312" w:eastAsia="仿宋_GB2312" w:cs="仿宋_GB2312"/>
                <w:color w:val="000000"/>
                <w:sz w:val="24"/>
                <w:szCs w:val="24"/>
                <w:highlight w:val="none"/>
                <w:lang w:val="en-US" w:eastAsia="zh-CN"/>
              </w:rPr>
              <w:t>5.提升质量监督</w:t>
            </w:r>
            <w:r>
              <w:rPr>
                <w:rFonts w:hint="eastAsia" w:ascii="仿宋_GB2312" w:hAnsi="仿宋_GB2312" w:eastAsia="仿宋_GB2312" w:cs="仿宋_GB2312"/>
                <w:color w:val="000000"/>
                <w:sz w:val="24"/>
                <w:szCs w:val="24"/>
                <w:highlight w:val="none"/>
                <w:lang w:eastAsia="zh-CN"/>
              </w:rPr>
              <w:t>，</w:t>
            </w:r>
            <w:r>
              <w:rPr>
                <w:rFonts w:hint="eastAsia" w:ascii="仿宋_GB2312" w:hAnsi="仿宋_GB2312" w:eastAsia="仿宋_GB2312" w:cs="仿宋_GB2312"/>
                <w:color w:val="000000"/>
                <w:sz w:val="24"/>
                <w:szCs w:val="24"/>
                <w:highlight w:val="none"/>
                <w:lang w:val="en-US" w:eastAsia="zh-CN"/>
              </w:rPr>
              <w:t>压实</w:t>
            </w:r>
            <w:r>
              <w:rPr>
                <w:rFonts w:hint="eastAsia" w:ascii="仿宋_GB2312" w:hAnsi="仿宋_GB2312" w:eastAsia="仿宋_GB2312" w:cs="仿宋_GB2312"/>
                <w:color w:val="000000"/>
                <w:sz w:val="24"/>
                <w:szCs w:val="24"/>
                <w:highlight w:val="none"/>
                <w:lang w:eastAsia="zh-CN"/>
              </w:rPr>
              <w:t>安全监管责任，落实安全生产。</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4304"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1、单位统筹预算资金，强化要素保障，整体运转正常有序，机关运行经费有效节约；</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2、</w:t>
            </w:r>
            <w:r>
              <w:rPr>
                <w:rFonts w:hint="default" w:ascii="仿宋_GB2312" w:hAnsi="仿宋_GB2312" w:eastAsia="仿宋_GB2312" w:cs="仿宋_GB2312"/>
                <w:color w:val="000000"/>
                <w:sz w:val="24"/>
                <w:szCs w:val="24"/>
                <w:highlight w:val="none"/>
                <w:lang w:val="en-US" w:eastAsia="zh-CN"/>
              </w:rPr>
              <w:t>积极争取城市更新、安居工程、农村危房改造等领域资金支持，全年累计争取各类政策性资金5.7亿元，有效保障项目建设。</w:t>
            </w:r>
            <w:r>
              <w:rPr>
                <w:rFonts w:hint="eastAsia" w:ascii="仿宋_GB2312" w:hAnsi="仿宋_GB2312" w:eastAsia="仿宋_GB2312" w:cs="仿宋_GB2312"/>
                <w:color w:val="000000"/>
                <w:sz w:val="24"/>
                <w:szCs w:val="24"/>
                <w:highlight w:val="none"/>
                <w:lang w:val="en-US" w:eastAsia="zh-CN"/>
              </w:rPr>
              <w:t>圆满完成老旧小区改造及保障性住房年初工作目标，人居环境有效改善；</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3、</w:t>
            </w:r>
            <w:r>
              <w:rPr>
                <w:rFonts w:hint="default" w:ascii="仿宋_GB2312" w:hAnsi="仿宋_GB2312" w:eastAsia="仿宋_GB2312" w:cs="仿宋_GB2312"/>
                <w:color w:val="000000"/>
                <w:sz w:val="24"/>
                <w:szCs w:val="24"/>
                <w:highlight w:val="none"/>
                <w:lang w:val="en-US" w:eastAsia="zh-CN"/>
              </w:rPr>
              <w:t>争取房企“白名单”融资59.34亿元稳住投资，27个保交楼项目获专项借款15.93亿元，交付率100%</w:t>
            </w:r>
            <w:r>
              <w:rPr>
                <w:rFonts w:hint="eastAsia" w:ascii="仿宋_GB2312" w:hAnsi="仿宋_GB2312" w:eastAsia="仿宋_GB2312" w:cs="仿宋_GB2312"/>
                <w:color w:val="000000"/>
                <w:sz w:val="24"/>
                <w:szCs w:val="24"/>
                <w:highlight w:val="none"/>
                <w:lang w:val="en-US" w:eastAsia="zh-CN"/>
              </w:rPr>
              <w:t>；</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4、</w:t>
            </w:r>
            <w:r>
              <w:rPr>
                <w:rFonts w:hint="default" w:ascii="仿宋_GB2312" w:hAnsi="仿宋_GB2312" w:eastAsia="仿宋_GB2312" w:cs="仿宋_GB2312"/>
                <w:color w:val="000000"/>
                <w:sz w:val="24"/>
                <w:szCs w:val="24"/>
                <w:highlight w:val="none"/>
                <w:lang w:val="en-US" w:eastAsia="zh-CN"/>
              </w:rPr>
              <w:t>中心城区污水收集率从“十四五”初期的50.21%提升至73.32%，乡镇污水运行负荷率71.1%，出水水质达一级A标准</w:t>
            </w:r>
            <w:r>
              <w:rPr>
                <w:rFonts w:hint="eastAsia" w:ascii="仿宋_GB2312" w:hAnsi="仿宋_GB2312" w:eastAsia="仿宋_GB2312" w:cs="仿宋_GB2312"/>
                <w:color w:val="000000"/>
                <w:sz w:val="24"/>
                <w:szCs w:val="24"/>
                <w:highlight w:val="none"/>
                <w:lang w:val="en-US" w:eastAsia="zh-CN"/>
              </w:rPr>
              <w:t>。。</w:t>
            </w:r>
            <w:r>
              <w:rPr>
                <w:rFonts w:hint="default" w:ascii="仿宋_GB2312" w:hAnsi="仿宋_GB2312" w:eastAsia="仿宋_GB2312" w:cs="仿宋_GB2312"/>
                <w:color w:val="000000"/>
                <w:sz w:val="24"/>
                <w:szCs w:val="24"/>
                <w:highlight w:val="none"/>
                <w:lang w:val="zh-CN" w:eastAsia="zh-CN"/>
              </w:rPr>
              <w:t>作为全省唯一绿色建造与浅层地热能“双试点”城市，实现新建民用建筑节能标准执行率、绿色建筑竣工面积占比“双100%”</w:t>
            </w:r>
            <w:r>
              <w:rPr>
                <w:rFonts w:hint="eastAsia" w:ascii="仿宋_GB2312" w:hAnsi="仿宋_GB2312" w:eastAsia="仿宋_GB2312" w:cs="仿宋_GB2312"/>
                <w:color w:val="000000"/>
                <w:sz w:val="24"/>
                <w:szCs w:val="24"/>
                <w:highlight w:val="none"/>
                <w:lang w:val="zh-CN" w:eastAsia="zh-CN"/>
              </w:rPr>
              <w:t>。</w:t>
            </w:r>
            <w:r>
              <w:rPr>
                <w:rFonts w:hint="default" w:ascii="仿宋_GB2312" w:hAnsi="仿宋_GB2312" w:eastAsia="仿宋_GB2312" w:cs="仿宋_GB2312"/>
                <w:color w:val="000000"/>
                <w:sz w:val="24"/>
                <w:szCs w:val="24"/>
                <w:highlight w:val="none"/>
                <w:lang w:val="en-US" w:eastAsia="zh-CN"/>
              </w:rPr>
              <w:t>完成20处历史建筑精准修缮，保留18家本土老字号、引进32家特色新业态，打造全时态文旅消费场景。建成全市统一历史建筑档案数据库，归集资料5000余件</w:t>
            </w:r>
            <w:r>
              <w:rPr>
                <w:rFonts w:hint="eastAsia" w:ascii="仿宋_GB2312" w:hAnsi="仿宋_GB2312" w:eastAsia="仿宋_GB2312" w:cs="仿宋_GB2312"/>
                <w:color w:val="000000"/>
                <w:sz w:val="24"/>
                <w:szCs w:val="24"/>
                <w:highlight w:val="none"/>
                <w:lang w:val="en-US" w:eastAsia="zh-CN"/>
              </w:rPr>
              <w:t>；</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default" w:ascii="仿宋_GB2312" w:hAnsi="仿宋_GB2312" w:eastAsia="仿宋_GB2312" w:cs="仿宋_GB2312"/>
                <w:color w:val="000000"/>
                <w:sz w:val="24"/>
                <w:szCs w:val="24"/>
                <w:highlight w:val="none"/>
                <w:lang w:val="en-US" w:eastAsia="zh-CN"/>
              </w:rPr>
            </w:pPr>
            <w:r>
              <w:rPr>
                <w:rFonts w:hint="eastAsia" w:ascii="仿宋_GB2312" w:hAnsi="仿宋_GB2312" w:eastAsia="仿宋_GB2312" w:cs="仿宋_GB2312"/>
                <w:color w:val="000000"/>
                <w:sz w:val="24"/>
                <w:szCs w:val="24"/>
                <w:highlight w:val="none"/>
                <w:lang w:val="en-US" w:eastAsia="zh-CN"/>
              </w:rPr>
              <w:t>5、筑牢安全生产坚固屏障，建筑工人实名制管理全省领先，</w:t>
            </w:r>
            <w:r>
              <w:rPr>
                <w:rFonts w:hint="default" w:ascii="仿宋_GB2312" w:hAnsi="仿宋_GB2312" w:eastAsia="仿宋_GB2312" w:cs="仿宋_GB2312"/>
                <w:color w:val="000000"/>
                <w:sz w:val="24"/>
                <w:szCs w:val="24"/>
                <w:highlight w:val="none"/>
                <w:lang w:val="en-US" w:eastAsia="zh-CN"/>
              </w:rPr>
              <w:t>全市已安全运行65</w:t>
            </w:r>
            <w:r>
              <w:rPr>
                <w:rFonts w:hint="eastAsia" w:ascii="仿宋_GB2312" w:hAnsi="仿宋_GB2312" w:eastAsia="仿宋_GB2312" w:cs="仿宋_GB2312"/>
                <w:color w:val="000000"/>
                <w:sz w:val="24"/>
                <w:szCs w:val="24"/>
                <w:highlight w:val="none"/>
                <w:lang w:val="en-US" w:eastAsia="zh-CN"/>
              </w:rPr>
              <w:t>6</w:t>
            </w:r>
            <w:r>
              <w:rPr>
                <w:rFonts w:hint="default" w:ascii="仿宋_GB2312" w:hAnsi="仿宋_GB2312" w:eastAsia="仿宋_GB2312" w:cs="仿宋_GB2312"/>
                <w:color w:val="000000"/>
                <w:sz w:val="24"/>
                <w:szCs w:val="24"/>
                <w:highlight w:val="none"/>
                <w:lang w:val="en-US" w:eastAsia="zh-CN"/>
              </w:rPr>
              <w:t>天（中心城区9</w:t>
            </w:r>
            <w:r>
              <w:rPr>
                <w:rFonts w:hint="eastAsia" w:ascii="仿宋_GB2312" w:hAnsi="仿宋_GB2312" w:eastAsia="仿宋_GB2312" w:cs="仿宋_GB2312"/>
                <w:color w:val="000000"/>
                <w:sz w:val="24"/>
                <w:szCs w:val="24"/>
                <w:highlight w:val="none"/>
                <w:lang w:val="en-US" w:eastAsia="zh-CN"/>
              </w:rPr>
              <w:t>60</w:t>
            </w:r>
            <w:r>
              <w:rPr>
                <w:rFonts w:hint="default" w:ascii="仿宋_GB2312" w:hAnsi="仿宋_GB2312" w:eastAsia="仿宋_GB2312" w:cs="仿宋_GB2312"/>
                <w:color w:val="000000"/>
                <w:sz w:val="24"/>
                <w:szCs w:val="24"/>
                <w:highlight w:val="none"/>
                <w:lang w:val="en-US" w:eastAsia="zh-CN"/>
              </w:rPr>
              <w:t>天）</w:t>
            </w:r>
            <w:r>
              <w:rPr>
                <w:rFonts w:hint="eastAsia" w:ascii="仿宋_GB2312" w:hAnsi="仿宋_GB2312" w:eastAsia="仿宋_GB2312" w:cs="仿宋_GB2312"/>
                <w:color w:val="000000"/>
                <w:sz w:val="24"/>
                <w:szCs w:val="24"/>
                <w:highlight w:val="none"/>
                <w:lang w:val="en-US" w:eastAsia="zh-CN"/>
              </w:rPr>
              <w:t>，27个项目斩获省级质量“芙蓉奖”，以本质安全水平提升服务发展大局。</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筹集公共租赁住房数量</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≥800套</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704套</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1.76</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指标值以省厅正式下达数</w:t>
            </w:r>
            <w:r>
              <w:rPr>
                <w:rFonts w:hint="eastAsia" w:ascii="仿宋_GB2312" w:hAnsi="仿宋_GB2312" w:eastAsia="仿宋_GB2312" w:cs="仿宋_GB2312"/>
                <w:color w:val="000000"/>
                <w:sz w:val="20"/>
                <w:szCs w:val="20"/>
                <w:highlight w:val="none"/>
                <w:lang w:val="en-US" w:eastAsia="zh-CN"/>
              </w:rPr>
              <w:t>704套为准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筹集保障性租赁住房数量</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≥1000套</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2227套</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发放租赁补贴</w:t>
            </w:r>
            <w:r>
              <w:rPr>
                <w:rFonts w:hint="eastAsia" w:ascii="仿宋_GB2312" w:hAnsi="仿宋_GB2312" w:eastAsia="仿宋_GB2312" w:cs="仿宋_GB2312"/>
                <w:color w:val="000000"/>
                <w:sz w:val="20"/>
                <w:szCs w:val="20"/>
                <w:highlight w:val="none"/>
                <w:lang w:eastAsia="zh-CN"/>
              </w:rPr>
              <w:t>户数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≥9000户</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9300户</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老旧小区改造实施方案评审数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≥300个</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211个</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2025年城镇老旧小区改造计划实际计划为211个小区</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农村危房改造任务数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省厅核准</w:t>
            </w:r>
            <w:r>
              <w:rPr>
                <w:rFonts w:hint="eastAsia" w:ascii="仿宋_GB2312" w:hAnsi="仿宋_GB2312" w:eastAsia="仿宋_GB2312" w:cs="仿宋_GB2312"/>
                <w:color w:val="000000"/>
                <w:sz w:val="20"/>
                <w:szCs w:val="20"/>
                <w:highlight w:val="none"/>
                <w:lang w:eastAsia="zh-CN"/>
              </w:rPr>
              <w:t>数</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814户</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新建乡镇污水管网任务数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10公里</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14.6公里</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超额完成</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海绵城市建设项目督导数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30个</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30个</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黑臭水体整治项目督导数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10个</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10个</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城市节约用水宣传周活动次数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1次</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1次</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招标项目标后稽查</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一年2次</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一年2次</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招标文件抽查</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一年4次</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一年4次</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57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安全生产事故应急演练</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≥2次</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3次</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0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优质工程项目评审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≥60个</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61个</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年度保交房率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98.89%</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融资白名单项目协助修复数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≥5个</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5个</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非物质文化遗产和物质文化遗产保护项目以及其他项目个数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r>
              <w:rPr>
                <w:rFonts w:hint="eastAsia" w:ascii="仿宋_GB2312" w:hAnsi="仿宋_GB2312" w:eastAsia="仿宋_GB2312" w:cs="仿宋_GB2312"/>
                <w:color w:val="000000"/>
                <w:sz w:val="20"/>
                <w:szCs w:val="20"/>
                <w:highlight w:val="none"/>
              </w:rPr>
              <w:t>个</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8个</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历史建筑测绘建档率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星级绿色建筑占比</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装配式建筑面积占比</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56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长沙筑博会次数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省厅安排</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0次</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省厅未组织举办</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住宅质量潜在缺陷保险试点任务数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≥1件</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1件</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ascii="仿宋_GB2312" w:hAnsi="仿宋_GB2312" w:eastAsia="仿宋_GB2312" w:cs="仿宋_GB2312"/>
                <w:color w:val="000000"/>
                <w:sz w:val="20"/>
                <w:szCs w:val="20"/>
              </w:rPr>
              <w:t>市中心城区污水厂运行监管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7家</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7家</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完成商品房合同备案数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东文宋体" w:hAnsi="东文宋体" w:eastAsia="东文宋体" w:cs="东文宋体"/>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5000份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5659份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城建档案收集、入库</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3万卷</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1.21万卷</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200" w:firstLineChars="100"/>
              <w:jc w:val="both"/>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0.40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档案验收项目减少且小项目多。</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农村危房改造验收率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建设工程质量验收合格率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消防现场验收专家技术支撑合格率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≥95%</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≥95%</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保交房项目按期交付率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98.89%</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文物保护单位维修效果</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合格</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合格</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建设项目装配率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≥50%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工程审批事项全程网办率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≥98%</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≥98%</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合同和规范性文件合法性审查率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行政复议和行政诉讼应诉答辩及时合法率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80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snapToGrid/>
                <w:kern w:val="2"/>
                <w:sz w:val="20"/>
                <w:szCs w:val="20"/>
                <w:lang w:eastAsia="zh-CN"/>
              </w:rPr>
              <w:t>检测平台检测数据录入</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snapToGrid/>
                <w:kern w:val="2"/>
                <w:sz w:val="20"/>
                <w:szCs w:val="20"/>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snapToGrid/>
                <w:kern w:val="2"/>
                <w:sz w:val="20"/>
                <w:szCs w:val="20"/>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公共租赁住房计划开工时间</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当年全部开工</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当年全部开工</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节水宣传周活动完成时间</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5月份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5月份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5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工程建设项目审批时限</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≤100天</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≤100天</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5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保交房项目交房时间</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按期交付</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按期交付</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全年支出金额</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sz w:val="20"/>
                <w:szCs w:val="20"/>
                <w:highlight w:val="none"/>
                <w:lang w:val="en-US" w:eastAsia="zh-CN"/>
              </w:rPr>
              <w:t>93963.57</w:t>
            </w:r>
            <w:r>
              <w:rPr>
                <w:rFonts w:hint="eastAsia" w:ascii="仿宋_GB2312" w:hAnsi="仿宋_GB2312" w:eastAsia="仿宋_GB2312" w:cs="仿宋_GB2312"/>
                <w:color w:val="000000"/>
                <w:sz w:val="20"/>
                <w:szCs w:val="20"/>
                <w:highlight w:val="none"/>
                <w:lang w:val="en-US" w:eastAsia="zh-CN"/>
              </w:rPr>
              <w:t>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sz w:val="20"/>
                <w:szCs w:val="20"/>
                <w:highlight w:val="none"/>
                <w:lang w:val="en-US" w:eastAsia="zh-CN"/>
              </w:rPr>
              <w:t>51050.20</w:t>
            </w:r>
            <w:r>
              <w:rPr>
                <w:rFonts w:hint="eastAsia" w:ascii="仿宋_GB2312" w:hAnsi="仿宋_GB2312" w:eastAsia="仿宋_GB2312" w:cs="仿宋_GB2312"/>
                <w:sz w:val="20"/>
                <w:szCs w:val="20"/>
                <w:highlight w:val="none"/>
                <w:lang w:val="en-US" w:eastAsia="zh-CN"/>
              </w:rPr>
              <w:t>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1.09</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部分项目实施进度滞后，工程款未能成功支付</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i w:val="0"/>
                <w:iCs w:val="0"/>
                <w:color w:val="000000"/>
                <w:kern w:val="0"/>
                <w:sz w:val="20"/>
                <w:szCs w:val="20"/>
                <w:highlight w:val="none"/>
                <w:u w:val="none"/>
                <w:lang w:val="en-US" w:eastAsia="zh-CN" w:bidi="ar"/>
              </w:rPr>
              <w:t>生态环境成本指标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76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雨水资源利用</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≥100万吨</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≥100万吨</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协助征收房地产行业税收</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6000</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6000</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城镇户籍低保、低收入住房困难户家庭申请公租房的保障率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工程审批“帮代办”优化服务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13个县市区全面推行</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13个县市区全面推行</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政府购买施工图审查服务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严格落实</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严格落实</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住建领域营商环境</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有效优化</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有效优化</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“交房即交证”改革</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全面推进</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全面推进</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信访事项受理率、办结率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施工扬尘污染率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有效降低</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有效降低</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乡镇污水处理率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乡镇污水处理设施进水COD浓度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≥60Mg/L</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95.3</w:t>
            </w:r>
            <w:r>
              <w:rPr>
                <w:rFonts w:hint="eastAsia" w:ascii="仿宋_GB2312" w:hAnsi="仿宋_GB2312" w:eastAsia="仿宋_GB2312" w:cs="仿宋_GB2312"/>
                <w:color w:val="000000"/>
                <w:sz w:val="20"/>
                <w:szCs w:val="20"/>
                <w:highlight w:val="none"/>
              </w:rPr>
              <w:t>Mg/L</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乡镇污水处理设施运行负荷率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73.1%</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出水总磷控制数</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eastAsia" w:ascii="仿宋_GB2312" w:hAnsi="仿宋_GB2312" w:eastAsia="仿宋_GB2312" w:cs="仿宋_GB2312"/>
                <w:color w:val="000000"/>
                <w:sz w:val="20"/>
                <w:szCs w:val="20"/>
                <w:highlight w:val="none"/>
              </w:rPr>
              <w:t>0.2Mg/L</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&lt;</w:t>
            </w:r>
            <w:r>
              <w:rPr>
                <w:rFonts w:hint="eastAsia" w:ascii="仿宋_GB2312" w:hAnsi="仿宋_GB2312" w:eastAsia="仿宋_GB2312" w:cs="仿宋_GB2312"/>
                <w:color w:val="000000"/>
                <w:sz w:val="20"/>
                <w:szCs w:val="20"/>
                <w:highlight w:val="none"/>
              </w:rPr>
              <w:t>0.2Mg/L</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32处黑臭水体水质取样检测率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7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建筑垃圾</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逐步减少</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逐步减少</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碳排放污染量</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逐步降低</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逐步降低</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城市水环境质量</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持续改善</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持续改善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群众满意度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企业</w:t>
            </w:r>
            <w:r>
              <w:rPr>
                <w:rFonts w:hint="eastAsia" w:ascii="仿宋_GB2312" w:hAnsi="仿宋_GB2312" w:eastAsia="仿宋_GB2312" w:cs="仿宋_GB2312"/>
                <w:color w:val="000000"/>
                <w:sz w:val="20"/>
                <w:szCs w:val="20"/>
                <w:highlight w:val="none"/>
              </w:rPr>
              <w:t>满意度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92.08</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2025.6.30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日常工作经费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310</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233.65</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228.99</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98.01%</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224.42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222.39</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9.23</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6.6</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trHeight w:val="880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1.住房保障工作绩效目标：全市预计2025年度开工建设公共租赁住房数量约800套、筹集保障性租赁住房数量约1000套，发放租赁补贴约9000户。牵头组织完成2025年度岳阳市城镇老旧小区改造实施方案评审。</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农村危房改造暨乡镇污水治理工作绩效目标：督促各县市区完成年度计划任务，加强安全质量督管，完成省住建厅交办本年度农村危房改造任务，保障农村低保户、分散供养特困人员、低保边缘户、易致贫返贫户、突发困难户等“六类对象”住房安全，完成乡村振兴战略相关工作；保障全市93座乡镇污水处理设施运行负荷率达到50%以上、进水COD浓度达到60Mg/L以上；完成洞庭湖总磷削减任务中本年度新建乡镇污水管网10公里的任务。</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黑臭水体整治暨海绵城市工作绩效目标：督导30个海绵城市建设项目，开展全市海绵城市系统培训海绵城市建设宣传，邀请2次专家现场指导海绵城市建设；核定更新岳阳市建成区范围，开展建成区范围内黑臭水体排查，邀请专家到现场指导黑臭水体整治，开展黑臭水体整治宣传，开展黑臭水体整治项目水质取样检测；加强城市供水用水管理，开展为期一周的城市节约用水宣传周活动。</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建设市场管理工作绩效目标：全面推广《房屋建筑和市政基础设施工程招标文件备案要点》，预计开展2次建设工程招标投标相关政策性文件宣贯、4次全市房屋建筑和市政基础设施工程招标文件抽查、2次全市房屋建筑和市政基础设施工程招标项目标后稽查。预计对全市约60个以上建设项目进行优质工程评审、约60个房屋市政基础设施项目进行质量安全隐患排查，预计开展4次以上执法检查、3次质量安全宣传活动、2次安全生产事故应急演练活动，组织对4个以上质量安全示范项目的观摩活动。及时完成市本级（楼区、经开区、南湖新区）消防验收工作。</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房地产市场监管暨历史文化名城管理工作绩效目标：保交房项目按期交付率不低于90%。力争在12月底前“白名单”项目“应贷尽贷”以及保交房按期交付率交付率达到80%以上。按照历史文化名城保护资金管理办法的要求，实施历史文化名城保护项目8个，监督指导名城保护项目实施和资金使用情况。</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6.建筑节能与装配式建筑管理工作绩效目标：完成《湖南省住建领域碳达峰实施方案》任务要求的2025年度绿色建筑标准各项指标任务，及时完成建筑节能专项验收，指导县市区提升建筑节能管理水平，预计结合全国节能宣传周、全国低碳日活动组织1次县市区绿色建筑、装配式生产宣传培训，开展1次示范工地、绿色建材现场推广观摩会，开展“双随机、一公开”项目抽查。完成省厅下达2025年岳阳市装配式建筑目标任务，按月对各县市区装配式建筑项目进行督导并及时登记台账，牵头组织2025年长沙筑博会岳阳展馆布展工作。</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7.工程建设项目审批制度改革暨优化营商环境工作绩效目标：推动审批管理实现“多测合一、多设合一、多审合一、技审分离”，强化“一张图”应用，实行统一报装、交房即交证；认真做好年度营商环境国检、省检测评工作，强化工改业务培训、考察；完成工改工作的省、市媒体宣传报道和政策宣贯；打造“帮代办”服务标杆，实现全程服务零距离、项目进度随时查、企业问题随时报。组织机关各科室、局属各单位根据业务工作实际需要和现行政策编制信息化项目建设需求方案；确保物业系统、网签系统等既有业务系统正常运行。完成12345热线工单、市长信箱、信访系统交办件以及省厅、市委市政府等上级单位交办的信访事项，确保四个“不发生”，做到受理率、办结率、参评率100%，满意率90%以上。完成年度依法行政工作任务,合法性审查、普法教育、行政执法工作上台阶,行政诉讼、行政复议中合法规避行政损失。</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预期目标均按照年初计划和相关要求如期完成。</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筹集公共租赁住房数量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≥800套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704套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2.64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指标值以省厅正式下达数</w:t>
            </w:r>
            <w:r>
              <w:rPr>
                <w:rFonts w:hint="eastAsia" w:ascii="仿宋_GB2312" w:hAnsi="仿宋_GB2312" w:eastAsia="仿宋_GB2312" w:cs="仿宋_GB2312"/>
                <w:color w:val="000000"/>
                <w:sz w:val="20"/>
                <w:szCs w:val="20"/>
                <w:highlight w:val="none"/>
                <w:lang w:val="en-US" w:eastAsia="zh-CN"/>
              </w:rPr>
              <w:t>704套为准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筹集保障性租赁住房数量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≥1000套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2227套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发放租赁补贴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≥9000户</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9300户</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6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农村危房改造任务数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省厅核准数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814户</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新建乡镇污水管网任务数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10公里</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14.6公里</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超额完成</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海绵城市建设项目督导数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黑臭水体整治项目督导数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招标文件抽查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r>
              <w:rPr>
                <w:rFonts w:hint="eastAsia" w:ascii="仿宋_GB2312" w:hAnsi="仿宋_GB2312" w:eastAsia="仿宋_GB2312" w:cs="仿宋_GB2312"/>
                <w:color w:val="000000"/>
                <w:sz w:val="20"/>
                <w:szCs w:val="20"/>
                <w:highlight w:val="none"/>
              </w:rPr>
              <w:t>次/年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r>
              <w:rPr>
                <w:rFonts w:hint="eastAsia" w:ascii="仿宋_GB2312" w:hAnsi="仿宋_GB2312" w:eastAsia="仿宋_GB2312" w:cs="仿宋_GB2312"/>
                <w:color w:val="000000"/>
                <w:sz w:val="20"/>
                <w:szCs w:val="20"/>
                <w:highlight w:val="none"/>
              </w:rPr>
              <w:t>次/年</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年度保交房率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98.89%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历史建筑测绘建档率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星级绿色建筑占比</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≥30%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装配式建筑面积占比</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≥40%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采石场保障人数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建设工程质量验收合格率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消防现场验收专家技术支撑合格率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文物保护单位维修效果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合格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合格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建设项目装配率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合同和规范性文件合法性审查率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公共租赁住房计划开工时间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当年全部开工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当年全部开工</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75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财政预算资金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≤366.3万元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228.99万元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9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雨水资源利用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≥100万吨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≥100万吨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城镇户籍低保、低收入住房困难户家庭申请公租房的保障率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政府购买施工图审查服务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严格落实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严格落实</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信访事项受理率、办结率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乡镇污水处理设施进水COD浓度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≥60Mg/L</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95.3</w:t>
            </w:r>
            <w:r>
              <w:rPr>
                <w:rFonts w:hint="eastAsia" w:ascii="仿宋_GB2312" w:hAnsi="仿宋_GB2312" w:eastAsia="仿宋_GB2312" w:cs="仿宋_GB2312"/>
                <w:color w:val="000000"/>
                <w:sz w:val="20"/>
                <w:szCs w:val="20"/>
                <w:highlight w:val="none"/>
              </w:rPr>
              <w:t>Mg/L</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乡镇污水处理设施运行负荷率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73.1%</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出水总磷控制数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≤0.2Mg/L</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24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&lt;</w:t>
            </w:r>
            <w:r>
              <w:rPr>
                <w:rFonts w:hint="eastAsia" w:ascii="仿宋_GB2312" w:hAnsi="仿宋_GB2312" w:eastAsia="仿宋_GB2312" w:cs="仿宋_GB2312"/>
                <w:color w:val="000000"/>
                <w:sz w:val="20"/>
                <w:szCs w:val="20"/>
                <w:highlight w:val="none"/>
              </w:rPr>
              <w:t>0.2Mg/L</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施工扬尘污染</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有效降低</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有效降低</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49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建筑垃圾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逐步减少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逐步减少</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碳排放污染量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逐步降低</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逐步降低</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城市水环境质量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持续改善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持续改善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群众满意度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99.44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rPr>
              <w:t>施工图审查　</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238.54</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238.50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238.46</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0.04</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0.04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1、完成2025年度市本级和岳阳楼区申报项目的施工图审查（含消防设计审查），确保项目顺利推进。</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2、在省施工图信息管理系统通过遴选报价的方式选择施工图审查机构，并通过政府电子卖场签订合同。</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3、市财政安排预算经费，按审批流程拨付各项目施工图审查费用。</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4、按施工图审查时间顺序逐步支付施工图审查费用。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均已完成。</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市本级施工图审查任务数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以全年实际项目数量为准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57个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施工图审查率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任务完成时间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2025年12月前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2025年12月前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财政预算资金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宋体"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238.5万元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企业成本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有效降低</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有效降低</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推进工程建设领域“放管服”改革，优化营商环境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有效推进</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有效推进</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促进建筑产业绿色发展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有效促进</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有效促进</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施工图审查结果适用时效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结果持续适用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结果持续适用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企业满意度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黄豪</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2026.6.4</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3-3</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城市管网及污水处理补助</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1429.83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504.63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35.29%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3.53</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1429.83</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504.63</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系统化全域推进海绵城市建设理念得到全面、系统落实，法律、制度建设稳步推进，工程建设达到预期进度，城市防洪排涝能力、地下空间利用水平显著提升，城市水安全、水环境、水资源明显改善，群众满意度明显提升。</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系统化全域推进海绵城市建设理念得到全面、系统落实，法律、制度建设稳步推进，工程建设达到预期进度，城市防洪排涝能力、地下空间利用水平显著提升，城市水安全、水环境、水资源明显改善，群众满意度明显提升。</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拟建立的长效机制数量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内涝积水区段消除比例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4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内涝防治标准（重现期）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0年一遇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3</w:t>
            </w:r>
            <w:r>
              <w:rPr>
                <w:rFonts w:hint="eastAsia" w:ascii="仿宋_GB2312" w:hAnsi="仿宋_GB2312" w:eastAsia="仿宋_GB2312" w:cs="仿宋_GB2312"/>
                <w:color w:val="000000"/>
                <w:sz w:val="20"/>
                <w:szCs w:val="20"/>
                <w:highlight w:val="none"/>
              </w:rPr>
              <w:t>0年一遇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内涝防治标准</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（对应降雨量）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224.3</w:t>
            </w:r>
            <w:r>
              <w:rPr>
                <w:rFonts w:hint="eastAsia" w:ascii="仿宋_GB2312" w:hAnsi="仿宋_GB2312" w:eastAsia="仿宋_GB2312" w:cs="仿宋_GB2312"/>
                <w:color w:val="000000"/>
                <w:sz w:val="20"/>
                <w:szCs w:val="20"/>
                <w:highlight w:val="none"/>
              </w:rPr>
              <w:t>毫米／24小时</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224.3</w:t>
            </w:r>
            <w:r>
              <w:rPr>
                <w:rFonts w:hint="eastAsia" w:ascii="仿宋_GB2312" w:hAnsi="仿宋_GB2312" w:eastAsia="仿宋_GB2312" w:cs="仿宋_GB2312"/>
                <w:color w:val="000000"/>
                <w:sz w:val="20"/>
                <w:szCs w:val="20"/>
                <w:highlight w:val="none"/>
              </w:rPr>
              <w:t>毫米／24小时</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城市防洪标准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0年一遇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达到</w:t>
            </w: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0年一遇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黑臭水体消除比例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地表水体水质达标率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93.6</w:t>
            </w:r>
            <w:r>
              <w:rPr>
                <w:rFonts w:hint="eastAsia" w:ascii="仿宋_GB2312" w:hAnsi="仿宋_GB2312" w:eastAsia="仿宋_GB2312" w:cs="仿宋_GB2312"/>
                <w:color w:val="000000"/>
                <w:sz w:val="20"/>
                <w:szCs w:val="20"/>
                <w:highlight w:val="none"/>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天然水域面积比例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12.7%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w:t>
            </w:r>
            <w:r>
              <w:rPr>
                <w:rFonts w:hint="eastAsia" w:ascii="仿宋_GB2312" w:hAnsi="仿宋_GB2312" w:eastAsia="仿宋_GB2312" w:cs="仿宋_GB2312"/>
                <w:color w:val="000000"/>
                <w:sz w:val="20"/>
                <w:szCs w:val="20"/>
                <w:highlight w:val="none"/>
                <w:lang w:val="en-US" w:eastAsia="zh-CN"/>
              </w:rPr>
              <w:t>5</w:t>
            </w: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可透水地面面积比例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w:t>
            </w: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rPr>
              <w:t>49.</w:t>
            </w:r>
            <w:r>
              <w:rPr>
                <w:rFonts w:hint="eastAsia" w:ascii="仿宋_GB2312" w:hAnsi="仿宋_GB2312" w:eastAsia="仿宋_GB2312" w:cs="仿宋_GB2312"/>
                <w:color w:val="000000"/>
                <w:sz w:val="20"/>
                <w:szCs w:val="20"/>
                <w:highlight w:val="none"/>
                <w:lang w:val="en-US" w:eastAsia="zh-CN"/>
              </w:rPr>
              <w:t>66</w:t>
            </w:r>
            <w:r>
              <w:rPr>
                <w:rFonts w:hint="eastAsia" w:ascii="仿宋_GB2312" w:hAnsi="仿宋_GB2312" w:eastAsia="仿宋_GB2312" w:cs="仿宋_GB2312"/>
                <w:color w:val="000000"/>
                <w:sz w:val="20"/>
                <w:szCs w:val="20"/>
                <w:highlight w:val="none"/>
                <w:lang w:val="en-US"/>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资金使用合规性（合规/基本合规/不合规）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基本合规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基本合规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资金下达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资金下达及时</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资金下达及时</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成本节约情况</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不超项目预算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未超出项目预算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雨水资源化利用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节省424</w:t>
            </w:r>
            <w:r>
              <w:rPr>
                <w:rFonts w:hint="eastAsia" w:ascii="仿宋_GB2312" w:hAnsi="仿宋_GB2312" w:eastAsia="仿宋_GB2312" w:cs="仿宋_GB2312"/>
                <w:color w:val="000000"/>
                <w:sz w:val="20"/>
                <w:szCs w:val="20"/>
                <w:highlight w:val="none"/>
              </w:rPr>
              <w:t>万吨</w:t>
            </w:r>
            <w:r>
              <w:rPr>
                <w:rFonts w:hint="eastAsia" w:ascii="仿宋_GB2312" w:hAnsi="仿宋_GB2312" w:eastAsia="仿宋_GB2312" w:cs="仿宋_GB2312"/>
                <w:color w:val="000000"/>
                <w:sz w:val="20"/>
                <w:szCs w:val="20"/>
                <w:highlight w:val="none"/>
                <w:lang w:eastAsia="zh-CN"/>
              </w:rPr>
              <w:t>自来水费</w:t>
            </w: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节省</w:t>
            </w:r>
            <w:r>
              <w:rPr>
                <w:rFonts w:hint="eastAsia" w:ascii="仿宋_GB2312" w:hAnsi="仿宋_GB2312" w:eastAsia="仿宋_GB2312" w:cs="仿宋_GB2312"/>
                <w:color w:val="000000"/>
                <w:sz w:val="20"/>
                <w:szCs w:val="20"/>
                <w:highlight w:val="none"/>
              </w:rPr>
              <w:t>超过</w:t>
            </w:r>
            <w:r>
              <w:rPr>
                <w:rFonts w:hint="eastAsia" w:ascii="仿宋_GB2312" w:hAnsi="仿宋_GB2312" w:eastAsia="仿宋_GB2312" w:cs="仿宋_GB2312"/>
                <w:color w:val="000000"/>
                <w:sz w:val="20"/>
                <w:szCs w:val="20"/>
                <w:highlight w:val="none"/>
                <w:lang w:val="en-US" w:eastAsia="zh-CN"/>
              </w:rPr>
              <w:t>424</w:t>
            </w:r>
            <w:r>
              <w:rPr>
                <w:rFonts w:hint="eastAsia" w:ascii="仿宋_GB2312" w:hAnsi="仿宋_GB2312" w:eastAsia="仿宋_GB2312" w:cs="仿宋_GB2312"/>
                <w:color w:val="000000"/>
                <w:sz w:val="20"/>
                <w:szCs w:val="20"/>
                <w:highlight w:val="none"/>
              </w:rPr>
              <w:t>万吨</w:t>
            </w:r>
            <w:r>
              <w:rPr>
                <w:rFonts w:hint="eastAsia" w:ascii="仿宋_GB2312" w:hAnsi="仿宋_GB2312" w:eastAsia="仿宋_GB2312" w:cs="仿宋_GB2312"/>
                <w:color w:val="000000"/>
                <w:sz w:val="20"/>
                <w:szCs w:val="20"/>
                <w:highlight w:val="none"/>
                <w:lang w:eastAsia="zh-CN"/>
              </w:rPr>
              <w:t>自来水费</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海绵城市建设理念是否落实在规划建设管理全过程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基本落实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基本落实</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工作谋划的整体性系统性（流域区域、城市、社区、设施等各个层面、各层面之间充分衔接，具有系统考虑和安排）</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全面落实</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全面落实</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新建项目全面落实海绵城市建设理念</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海绵城市建设与城市更新、防洪排涝设施建设、地下空间建设、老旧小区改造等工作充分结合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是</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项目谋划和实施的系统性整体性</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对生态环境改善程度（优、良、中、无改善）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项目后续运行的可持续影响情况（优、良、中、无）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rPr>
              <w:t>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en-US"/>
              </w:rPr>
              <w:t>人民群众对海绵城市的认知度、参与度、满意度显著提升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人民群众对海绵城市的认知度、参与度、满意度显著提升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人民群众对海绵城市的认知度、参与度、满意度显著提升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93.53</w:t>
            </w:r>
          </w:p>
        </w:tc>
        <w:tc>
          <w:tcPr>
            <w:tcW w:w="141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3-4</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52"/>
        <w:gridCol w:w="1052"/>
        <w:gridCol w:w="1039"/>
        <w:gridCol w:w="1181"/>
        <w:gridCol w:w="1265"/>
        <w:gridCol w:w="1216"/>
        <w:gridCol w:w="809"/>
        <w:gridCol w:w="869"/>
        <w:gridCol w:w="1368"/>
      </w:tblGrid>
      <w:tr>
        <w:tblPrEx>
          <w:tblCellMar>
            <w:top w:w="0" w:type="dxa"/>
            <w:left w:w="108" w:type="dxa"/>
            <w:bottom w:w="0" w:type="dxa"/>
            <w:right w:w="108" w:type="dxa"/>
          </w:tblCellMar>
        </w:tblPrEx>
        <w:trPr>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9"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rPr>
              <w:t>四中人行天桥EPC项目</w:t>
            </w:r>
          </w:p>
        </w:tc>
      </w:tr>
      <w:tr>
        <w:tblPrEx>
          <w:tblCellMar>
            <w:top w:w="0" w:type="dxa"/>
            <w:left w:w="108" w:type="dxa"/>
            <w:bottom w:w="0" w:type="dxa"/>
            <w:right w:w="108" w:type="dxa"/>
          </w:tblCellMar>
        </w:tblPrEx>
        <w:trPr>
          <w:jc w:val="center"/>
        </w:trPr>
        <w:tc>
          <w:tcPr>
            <w:tcW w:w="105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37"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216"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46"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52"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09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8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6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6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18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109.94</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19.91</w:t>
            </w:r>
          </w:p>
        </w:tc>
        <w:tc>
          <w:tcPr>
            <w:tcW w:w="8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6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18.11%</w:t>
            </w:r>
          </w:p>
        </w:tc>
        <w:tc>
          <w:tcPr>
            <w:tcW w:w="136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1.81</w:t>
            </w:r>
          </w:p>
        </w:tc>
      </w:tr>
      <w:tr>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18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109.94</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19.91</w:t>
            </w:r>
          </w:p>
        </w:tc>
        <w:tc>
          <w:tcPr>
            <w:tcW w:w="8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p>
        </w:tc>
        <w:tc>
          <w:tcPr>
            <w:tcW w:w="86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36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18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6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09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18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6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6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2"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6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52"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3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市四中人行天桥EPC项目完成建设、投入使用　　</w:t>
            </w:r>
          </w:p>
        </w:tc>
        <w:tc>
          <w:tcPr>
            <w:tcW w:w="426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市四中人行天桥EPC项目</w:t>
            </w:r>
            <w:r>
              <w:rPr>
                <w:rFonts w:hint="eastAsia" w:ascii="仿宋_GB2312" w:hAnsi="仿宋_GB2312" w:eastAsia="仿宋_GB2312" w:cs="仿宋_GB2312"/>
                <w:color w:val="000000"/>
                <w:sz w:val="20"/>
                <w:szCs w:val="20"/>
                <w:highlight w:val="none"/>
                <w:lang w:eastAsia="zh-CN"/>
              </w:rPr>
              <w:t>已</w:t>
            </w:r>
            <w:r>
              <w:rPr>
                <w:rFonts w:hint="eastAsia" w:ascii="仿宋_GB2312" w:hAnsi="仿宋_GB2312" w:eastAsia="仿宋_GB2312" w:cs="仿宋_GB2312"/>
                <w:color w:val="000000"/>
                <w:sz w:val="20"/>
                <w:szCs w:val="20"/>
                <w:highlight w:val="none"/>
              </w:rPr>
              <w:t>完成建设、投入使用</w:t>
            </w:r>
          </w:p>
        </w:tc>
      </w:tr>
      <w:tr>
        <w:tblPrEx>
          <w:tblCellMar>
            <w:top w:w="0" w:type="dxa"/>
            <w:left w:w="108" w:type="dxa"/>
            <w:bottom w:w="0" w:type="dxa"/>
            <w:right w:w="108" w:type="dxa"/>
          </w:tblCellMar>
        </w:tblPrEx>
        <w:trPr>
          <w:jc w:val="center"/>
        </w:trPr>
        <w:tc>
          <w:tcPr>
            <w:tcW w:w="1052"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人行天桥数量</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1座</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1座</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验收合格率</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天桥投入使用时间</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2025.12.31之前</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2025.12.31之前</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本年度支付成本</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宋体"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≤109.94</w:t>
            </w:r>
            <w:r>
              <w:rPr>
                <w:rFonts w:hint="eastAsia" w:ascii="仿宋_GB2312" w:hAnsi="仿宋_GB2312" w:eastAsia="仿宋_GB2312" w:cs="仿宋_GB2312"/>
                <w:color w:val="000000"/>
                <w:sz w:val="20"/>
                <w:szCs w:val="20"/>
                <w:highlight w:val="none"/>
                <w:lang w:eastAsia="zh-CN"/>
              </w:rPr>
              <w:t>万元</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19.91万元</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项目工程款支付手续不完善，导致工程款未能成功支付。</w:t>
            </w: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市民出行费用</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有效节约</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有效节约</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市民交通便利度</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有效提升</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有效提升</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8</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生态效益指标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对生态效益无负面影响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无负面影响</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6</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天桥使用时间</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长期使用</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长期使用</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市民满意度</w:t>
            </w:r>
          </w:p>
        </w:tc>
        <w:tc>
          <w:tcPr>
            <w:tcW w:w="126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90%</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36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805"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0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6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91.81</w:t>
            </w:r>
          </w:p>
        </w:tc>
        <w:tc>
          <w:tcPr>
            <w:tcW w:w="136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3-5</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rPr>
              <w:t>城市更新示范项目前期经费</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b/>
                <w:bCs/>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254.68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247.08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97.02%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9.7</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254.68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247.08</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根据省住建厅、省财政厅关于城市更新示范建设工作的有关要求和市委市政府工作部署，完成《岳阳市城市更新示范建设工作规划方案》及其5个配套文件的编制和申报送审</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编制完成</w:t>
            </w:r>
            <w:r>
              <w:rPr>
                <w:rFonts w:hint="eastAsia" w:ascii="仿宋_GB2312" w:hAnsi="仿宋_GB2312" w:eastAsia="仿宋_GB2312" w:cs="仿宋_GB2312"/>
                <w:color w:val="000000"/>
                <w:sz w:val="20"/>
                <w:szCs w:val="20"/>
                <w:highlight w:val="none"/>
              </w:rPr>
              <w:t>完成《岳阳市城市更新示范建设工作规划方案》及</w:t>
            </w:r>
            <w:r>
              <w:rPr>
                <w:rFonts w:hint="eastAsia" w:ascii="仿宋_GB2312" w:hAnsi="仿宋_GB2312" w:eastAsia="仿宋_GB2312" w:cs="仿宋_GB2312"/>
                <w:color w:val="000000"/>
                <w:sz w:val="20"/>
                <w:szCs w:val="20"/>
                <w:highlight w:val="none"/>
                <w:lang w:eastAsia="zh-CN"/>
              </w:rPr>
              <w:t>相关</w:t>
            </w:r>
            <w:r>
              <w:rPr>
                <w:rFonts w:hint="eastAsia" w:ascii="仿宋_GB2312" w:hAnsi="仿宋_GB2312" w:eastAsia="仿宋_GB2312" w:cs="仿宋_GB2312"/>
                <w:color w:val="000000"/>
                <w:sz w:val="20"/>
                <w:szCs w:val="20"/>
                <w:highlight w:val="none"/>
              </w:rPr>
              <w:t>配套文件</w:t>
            </w:r>
            <w:r>
              <w:rPr>
                <w:rFonts w:hint="eastAsia" w:ascii="仿宋_GB2312" w:hAnsi="仿宋_GB2312" w:eastAsia="仿宋_GB2312" w:cs="仿宋_GB2312"/>
                <w:color w:val="000000"/>
                <w:sz w:val="20"/>
                <w:szCs w:val="20"/>
                <w:highlight w:val="none"/>
                <w:lang w:eastAsia="zh-CN"/>
              </w:rPr>
              <w:t>。</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编报数量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省级评审通过率和方案验收合格率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申报完成时限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方案编制成本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≤254.68万元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247.08万元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推动城市建设提质增效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有效推动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有效推动城市建设提质增效</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社会发展更新模式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促进优化发展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优化建设社会发展更新模式</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城市生态环境改善状况</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推动绿色发展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推动城市生态环境绿色发展</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构建城市发展新模式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推动更新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推动构建城市发展新模式</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7.5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市民满意度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张泰来</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3-6</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b w:val="0"/>
                <w:bCs w:val="0"/>
                <w:color w:val="000000"/>
                <w:sz w:val="20"/>
                <w:szCs w:val="20"/>
                <w:highlight w:val="none"/>
              </w:rPr>
              <w:t>历史文化名城</w:t>
            </w:r>
            <w:r>
              <w:rPr>
                <w:rFonts w:hint="eastAsia" w:ascii="仿宋_GB2312" w:hAnsi="仿宋_GB2312" w:eastAsia="仿宋_GB2312" w:cs="仿宋_GB2312"/>
                <w:b w:val="0"/>
                <w:bCs w:val="0"/>
                <w:color w:val="000000"/>
                <w:sz w:val="20"/>
                <w:szCs w:val="20"/>
                <w:highlight w:val="none"/>
                <w:lang w:eastAsia="zh-CN"/>
              </w:rPr>
              <w:t>专项</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107.44</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106.77</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99.38%</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9.94</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107.44</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106.77</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实施历史文化名城保护项目8个，主要包括历史文化名称保护相关的规划编制、历史建筑和历史街区修缮保护、非物质文化遗产保护、文物保护以及宣传咨询等。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实施历史文化名城保护项目8个，</w:t>
            </w:r>
            <w:r>
              <w:rPr>
                <w:rFonts w:hint="eastAsia" w:ascii="仿宋_GB2312" w:hAnsi="仿宋_GB2312" w:eastAsia="仿宋_GB2312" w:cs="仿宋_GB2312"/>
                <w:color w:val="000000"/>
                <w:sz w:val="20"/>
                <w:szCs w:val="20"/>
                <w:highlight w:val="none"/>
                <w:lang w:eastAsia="zh-CN"/>
              </w:rPr>
              <w:t>包括历史建筑和历史街区修缮保护。</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非物质文化遗产和物质文化遗产保护项目以及其他项目个数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历史建筑测绘建档率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历史文化名城保护资金下拨时间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2025年年底前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2025年年底前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2025年度历史文化名城保护资金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≤580万元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106.77万元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66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对经济效益无负面影响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历史文化名城保护意识增强，保护机制更加完善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效果明显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效果明显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对生态效益无负面影响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规划引领作用更加凸显，历史街区整治措施更加有力，文化遗产保护更加全面</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效果明显</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效果明显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陈兰</w:t>
      </w:r>
      <w:r>
        <w:rPr>
          <w:rFonts w:hint="eastAsia"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3-7</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求索西路项目</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99.87%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1524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完成求索西路延伸段项目建设，提升城市道路通行效率，方便市民出行。</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求索西路延伸段项目已竣工验收并投入使用。</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道路建设里程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816米</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816米</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道路验收时限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预算执行数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≤1600万元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1524万元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促进城市经济运行</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有效促进</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有效促进</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道路通车率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道路绿化覆盖率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22.5%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22.5%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市区交通通达度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市民满意度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3-8</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住房城乡建设引导专项资金</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88.59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68.15%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6.82</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130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88.59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根据市政府关于《审定省拨住房城乡建设引导专项资金二次分配方案的请示》的批示，统筹用于住建领域专项业务工作。</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住建协同系统更新如期验收投入使用，推动全年</w:t>
            </w:r>
            <w:r>
              <w:rPr>
                <w:rFonts w:hint="eastAsia" w:ascii="仿宋_GB2312" w:hAnsi="仿宋_GB2312" w:eastAsia="仿宋_GB2312" w:cs="仿宋_GB2312"/>
                <w:color w:val="000000"/>
                <w:sz w:val="20"/>
                <w:szCs w:val="20"/>
                <w:lang w:val="en-US" w:eastAsia="zh-CN"/>
              </w:rPr>
              <w:t>住房保障、农村危房改造、黑臭水体治理、乡镇污水处理设施建设、装配式建筑实施管理等年度工作任务完成。</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自然灾害综合风险基础数据库和行业库建设完成率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城镇老旧小区改造实施方案评审通过率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2025年12月31日内</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预算控制金额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88.59万元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经济效益指标不适用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住建领域舆情监测及时性</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有效提高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生态效益指标不适用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城市建成区范围核定</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长期有效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长期有效</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服务企业满意率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96.82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填报日期：</w:t>
      </w:r>
      <w:r>
        <w:rPr>
          <w:rFonts w:hint="eastAsia" w:eastAsia="仿宋_GB2312" w:cs="Times New Roman"/>
          <w:sz w:val="22"/>
          <w:szCs w:val="22"/>
          <w:highlight w:val="none"/>
          <w:lang w:val="en-US" w:eastAsia="zh-CN"/>
        </w:rPr>
        <w:t>2025.5.20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3-9</w:t>
      </w:r>
    </w:p>
    <w:p>
      <w:pPr>
        <w:pStyle w:val="5"/>
        <w:rPr>
          <w:rFonts w:hint="eastAsia"/>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1449"/>
        <w:gridCol w:w="842"/>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城建维护经费</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土桥桃花山旧改项目山体明塌加固工程功坡支护（应急工程）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已完成</w:t>
            </w:r>
            <w:r>
              <w:rPr>
                <w:rFonts w:hint="eastAsia" w:ascii="仿宋_GB2312" w:hAnsi="仿宋_GB2312" w:eastAsia="仿宋_GB2312" w:cs="仿宋_GB2312"/>
                <w:color w:val="000000"/>
                <w:sz w:val="20"/>
                <w:szCs w:val="20"/>
                <w:highlight w:val="none"/>
              </w:rPr>
              <w:t>土桥桃花山旧改项目山体明塌加固工程功坡支护应急工程</w:t>
            </w:r>
            <w:r>
              <w:rPr>
                <w:rFonts w:hint="eastAsia" w:ascii="仿宋_GB2312" w:hAnsi="仿宋_GB2312" w:eastAsia="仿宋_GB2312" w:cs="仿宋_GB2312"/>
                <w:color w:val="000000"/>
                <w:sz w:val="20"/>
                <w:szCs w:val="20"/>
                <w:highlight w:val="none"/>
                <w:lang w:eastAsia="zh-CN"/>
              </w:rPr>
              <w:t>。</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边坡支护段长度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51米</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51米</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任务完成时间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预算内金额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对经济效益影响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居民出行安全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对生态效益影响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保持居民出行安全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长期有效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长期有效</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附近居民满意度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4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44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4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3-10</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保障性住房购置专项</w:t>
            </w:r>
            <w:r>
              <w:rPr>
                <w:rFonts w:hint="eastAsia" w:ascii="仿宋_GB2312" w:hAnsi="仿宋_GB2312" w:eastAsia="仿宋_GB2312" w:cs="仿宋_GB2312"/>
                <w:b/>
                <w:bCs/>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4496.25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89.93%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8.99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4496.25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收购存量商品住房作为保障性住房，解决新市民和无房户住房困难问题。</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已签订收购框架协议并支付房款，最终收购价格后续由专业机构进行评审确定。</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76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住房购置套数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≥120套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129套</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房源为恒大公司自有产权住宅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房源无产权纠纷、未抵押、未被查封、未冻结</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房源无产权纠纷、未抵押、未被查封、未冻结</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1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7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预算安排金额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4496.25万元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保障性住房租金收入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按相关政策定</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按相关政策定</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助力无房户实现住有所居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有力保障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有力保障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生态效益指标不适用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实现居者有其屋</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长期保障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长期保障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无房户满意度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90</w:t>
            </w:r>
            <w:r>
              <w:rPr>
                <w:rFonts w:hint="eastAsia" w:ascii="仿宋_GB2312" w:hAnsi="仿宋_GB2312" w:eastAsia="仿宋_GB2312" w:cs="仿宋_GB2312"/>
                <w:color w:val="000000"/>
                <w:sz w:val="20"/>
                <w:szCs w:val="20"/>
                <w:highlight w:val="none"/>
                <w:lang w:val="en-US" w:eastAsia="zh-CN"/>
              </w:rPr>
              <w:t>％</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98.99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b w:val="0"/>
                <w:bCs w:val="0"/>
                <w:color w:val="000000"/>
                <w:sz w:val="20"/>
                <w:szCs w:val="20"/>
                <w:highlight w:val="none"/>
                <w:lang w:eastAsia="zh-CN"/>
              </w:rPr>
              <w:t>自贸试验区制度创新激励资金</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9.98</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发放</w:t>
            </w:r>
            <w:r>
              <w:rPr>
                <w:rFonts w:hint="eastAsia" w:ascii="仿宋_GB2312" w:hAnsi="仿宋_GB2312" w:eastAsia="仿宋_GB2312" w:cs="仿宋_GB2312"/>
                <w:color w:val="000000"/>
                <w:sz w:val="20"/>
                <w:szCs w:val="20"/>
                <w:highlight w:val="none"/>
              </w:rPr>
              <w:t>2024年度自贸试验区岳阳片区“社会投资建设的简易既有建筑装饰装修工程一件事一次办”制度创新激励奖金</w:t>
            </w:r>
            <w:r>
              <w:rPr>
                <w:rFonts w:hint="eastAsia" w:ascii="仿宋_GB2312" w:hAnsi="仿宋_GB2312" w:eastAsia="仿宋_GB2312" w:cs="仿宋_GB2312"/>
                <w:color w:val="000000"/>
                <w:sz w:val="20"/>
                <w:szCs w:val="20"/>
                <w:highlight w:val="none"/>
                <w:lang w:eastAsia="zh-CN"/>
              </w:rPr>
              <w:t>。</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均已完成。</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制度创新数量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1项</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审批服务质量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精简审批环节和材料，提高审批服务质量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精简审批环节和材料，提高审批服务质量</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压缩审批对象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≤2个工作日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≤2个工作日</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预算安排金额</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4.99万元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时间费用双减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节约企业人力、财力成本</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节约企业人力、财力成本</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实施政府购买“帮代办”服务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对需求的企业提高全程免费帮代办，由被动服务转变为主动服务</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对需求的企业提高全程免费帮代办，由被动服务转变为主动服务</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无生态效益指标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36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优化营商环境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进一步降本增效，优化工程审批营商环境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进一步降本增效，优化工程审批营商环境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政务服务，企业群众满意度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lang w:val="en-US" w:eastAsia="zh-CN"/>
              </w:rPr>
              <w:t>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w:t>
            </w:r>
            <w:r>
              <w:rPr>
                <w:rFonts w:hint="default" w:ascii="仿宋_GB2312" w:hAnsi="仿宋_GB2312" w:eastAsia="仿宋_GB2312" w:cs="仿宋_GB2312"/>
                <w:color w:val="000000"/>
                <w:sz w:val="20"/>
                <w:szCs w:val="20"/>
                <w:highlight w:val="none"/>
                <w:lang w:val="en-US" w:eastAsia="zh-CN"/>
              </w:rPr>
              <w:t>9</w:t>
            </w:r>
            <w:r>
              <w:rPr>
                <w:rFonts w:hint="eastAsia" w:ascii="仿宋_GB2312" w:hAnsi="仿宋_GB2312" w:eastAsia="仿宋_GB2312" w:cs="仿宋_GB2312"/>
                <w:color w:val="000000"/>
                <w:sz w:val="20"/>
                <w:szCs w:val="20"/>
                <w:highlight w:val="none"/>
                <w:lang w:val="en-US" w:eastAsia="zh-CN"/>
              </w:rPr>
              <w:t>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tabs>
          <w:tab w:val="left" w:pos="6586"/>
        </w:tabs>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r>
        <w:rPr>
          <w:rFonts w:hint="eastAsia" w:eastAsia="仿宋_GB2312" w:cs="Times New Roman"/>
          <w:sz w:val="18"/>
          <w:szCs w:val="18"/>
          <w:highlight w:val="none"/>
          <w:lang w:eastAsia="zh-CN"/>
        </w:rPr>
        <w:tab/>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default"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3-12</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企业军转干部资金</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center" w:pos="2151"/>
              </w:tabs>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lang w:eastAsia="zh-CN"/>
              </w:rPr>
              <w:t>岳阳市住房和城乡建设局</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eastAsia="zh-CN"/>
              </w:rPr>
              <w:t>岳阳市住房和城乡建设局</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6.74</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按照退役军人待遇政策，根据退役军人事务局核定标准，及时保障困难企业军转干部工资补差、住院救助、死亡救助、八一慰问金等待遇到位。</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均按照专户资金到位时间及时支付。</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补助人数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退役军人事务局核定人数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退役军人事务局核定人数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补助发放率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补助发放时间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符合对应政策</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符合对应政策</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社会成本指标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对社会发展无负面影响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生态环境成本指标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对生态环境无负面影响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企业军转干部经济收入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有效增加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有效增加</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补助对象生活改善情况</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有所提升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有所提升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不适用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不适用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kern w:val="2"/>
                <w:sz w:val="20"/>
                <w:szCs w:val="20"/>
                <w:highlight w:val="none"/>
                <w:lang w:val="en-US" w:eastAsia="zh-CN" w:bidi="ar-SA"/>
              </w:rPr>
              <w:t>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军转干部待遇保障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持续保障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持续保障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受益对象满意度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rPr>
              <w:t>≥90%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任哲渔</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2026.6.5</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8758009</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eastAsia" w:eastAsia="仿宋_GB2312" w:cs="Times New Roman"/>
          <w:sz w:val="22"/>
          <w:szCs w:val="22"/>
          <w:highlight w:val="none"/>
          <w:lang w:eastAsia="zh-CN"/>
        </w:rPr>
        <w:t>钱丹青</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3-13</w:t>
      </w:r>
    </w:p>
    <w:p>
      <w:pPr>
        <w:pStyle w:val="5"/>
        <w:rPr>
          <w:rFonts w:hint="default"/>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156"/>
        <w:gridCol w:w="1004"/>
        <w:gridCol w:w="1224"/>
        <w:gridCol w:w="1134"/>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日常工作经费</w:t>
            </w:r>
            <w:r>
              <w:rPr>
                <w:rFonts w:hint="eastAsia" w:ascii="仿宋_GB2312" w:hAnsi="仿宋_GB2312" w:eastAsia="仿宋_GB2312" w:cs="仿宋_GB2312"/>
                <w:color w:val="00000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岳阳市住房和城乡建设局</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岳阳市城市建设档案馆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50</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50</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bookmarkStart w:id="1" w:name="OLE_LINK6"/>
            <w:r>
              <w:rPr>
                <w:rFonts w:hint="eastAsia" w:ascii="仿宋_GB2312" w:hAnsi="仿宋_GB2312" w:eastAsia="仿宋_GB2312" w:cs="仿宋_GB2312"/>
                <w:color w:val="000000"/>
                <w:sz w:val="20"/>
                <w:szCs w:val="20"/>
                <w:highlight w:val="none"/>
              </w:rPr>
              <w:t>1、完成城建档案库房</w:t>
            </w:r>
            <w:r>
              <w:rPr>
                <w:rFonts w:hint="eastAsia" w:ascii="仿宋_GB2312" w:hAnsi="仿宋_GB2312" w:eastAsia="仿宋_GB2312" w:cs="仿宋_GB2312"/>
                <w:color w:val="000000"/>
                <w:sz w:val="20"/>
                <w:szCs w:val="20"/>
                <w:highlight w:val="none"/>
                <w:lang w:val="en-US" w:eastAsia="zh-CN"/>
              </w:rPr>
              <w:t>41</w:t>
            </w:r>
            <w:r>
              <w:rPr>
                <w:rFonts w:hint="eastAsia" w:ascii="仿宋_GB2312" w:hAnsi="仿宋_GB2312" w:eastAsia="仿宋_GB2312" w:cs="仿宋_GB2312"/>
                <w:color w:val="000000"/>
                <w:sz w:val="20"/>
                <w:szCs w:val="20"/>
                <w:highlight w:val="none"/>
              </w:rPr>
              <w:t>万卷档案防霉菌、防火、防潮、防水、防日光及紫外线照射，防尘、防污染、防有害生物和安全防范等（九防）安全防范，档案库房设施、设备（温湿、消防、温控）维修维护，城建档案查询利用等工作；2、根据《岳阳市人民政府办公室关于印发&lt;岳阳市城市地下管线普查工作实施方案&gt;的通知》要求，我市应建立地下管线信息系统维护、管理与服务的长效机制，实现地下管线数据的动态更新、维护、发挥地下管线信息系统的综合服务作用，实现地下管线信息系统的规范化、信息化、动态化和科学化管理</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因此需进行系统和数据的维护工作。3、保证数字城建档案平台正常运行</w:t>
            </w:r>
            <w:bookmarkEnd w:id="1"/>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保障档案入库、查询利用、验收工作正常运转。</w:t>
            </w:r>
          </w:p>
        </w:tc>
        <w:tc>
          <w:tcPr>
            <w:tcW w:w="4253"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1、城建档案库房</w:t>
            </w:r>
            <w:r>
              <w:rPr>
                <w:rFonts w:hint="eastAsia" w:ascii="仿宋_GB2312" w:hAnsi="仿宋_GB2312" w:eastAsia="仿宋_GB2312" w:cs="仿宋_GB2312"/>
                <w:color w:val="000000"/>
                <w:sz w:val="20"/>
                <w:szCs w:val="20"/>
                <w:highlight w:val="none"/>
                <w:lang w:val="en-US" w:eastAsia="zh-CN"/>
              </w:rPr>
              <w:t>41</w:t>
            </w:r>
            <w:r>
              <w:rPr>
                <w:rFonts w:hint="eastAsia" w:ascii="仿宋_GB2312" w:hAnsi="仿宋_GB2312" w:eastAsia="仿宋_GB2312" w:cs="仿宋_GB2312"/>
                <w:color w:val="000000"/>
                <w:sz w:val="20"/>
                <w:szCs w:val="20"/>
                <w:highlight w:val="none"/>
              </w:rPr>
              <w:t>万卷档案</w:t>
            </w:r>
            <w:r>
              <w:rPr>
                <w:rFonts w:hint="eastAsia" w:ascii="仿宋_GB2312" w:hAnsi="仿宋_GB2312" w:eastAsia="仿宋_GB2312" w:cs="仿宋_GB2312"/>
                <w:color w:val="000000"/>
                <w:sz w:val="20"/>
                <w:szCs w:val="20"/>
                <w:highlight w:val="none"/>
                <w:lang w:val="en-US" w:eastAsia="zh-CN"/>
              </w:rPr>
              <w:t>达到</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九防</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管理要求，档案保存完好</w:t>
            </w:r>
            <w:r>
              <w:rPr>
                <w:rFonts w:hint="eastAsia" w:ascii="仿宋_GB2312" w:hAnsi="仿宋_GB2312" w:eastAsia="仿宋_GB2312" w:cs="仿宋_GB2312"/>
                <w:color w:val="000000"/>
                <w:sz w:val="20"/>
                <w:szCs w:val="20"/>
                <w:highlight w:val="none"/>
              </w:rPr>
              <w:t>；2、</w:t>
            </w:r>
            <w:r>
              <w:rPr>
                <w:rFonts w:hint="eastAsia" w:ascii="仿宋_GB2312" w:hAnsi="仿宋_GB2312" w:eastAsia="仿宋_GB2312" w:cs="仿宋_GB2312"/>
                <w:color w:val="000000"/>
                <w:sz w:val="20"/>
                <w:szCs w:val="20"/>
                <w:highlight w:val="none"/>
                <w:lang w:val="en-US" w:eastAsia="zh-CN"/>
              </w:rPr>
              <w:t>进行地下管线信息系统维护工作</w:t>
            </w:r>
            <w:r>
              <w:rPr>
                <w:rFonts w:hint="eastAsia" w:ascii="仿宋_GB2312" w:hAnsi="仿宋_GB2312" w:eastAsia="仿宋_GB2312" w:cs="仿宋_GB2312"/>
                <w:color w:val="000000"/>
                <w:sz w:val="20"/>
                <w:szCs w:val="20"/>
                <w:highlight w:val="none"/>
              </w:rPr>
              <w:t>；3、</w:t>
            </w:r>
            <w:r>
              <w:rPr>
                <w:rFonts w:hint="eastAsia" w:ascii="仿宋_GB2312" w:hAnsi="仿宋_GB2312" w:eastAsia="仿宋_GB2312" w:cs="仿宋_GB2312"/>
                <w:color w:val="000000"/>
                <w:sz w:val="20"/>
                <w:szCs w:val="20"/>
                <w:highlight w:val="none"/>
                <w:lang w:val="en-US" w:eastAsia="zh-CN"/>
              </w:rPr>
              <w:t>全年</w:t>
            </w:r>
            <w:r>
              <w:rPr>
                <w:rFonts w:hint="eastAsia" w:ascii="仿宋_GB2312" w:hAnsi="仿宋_GB2312" w:eastAsia="仿宋_GB2312" w:cs="仿宋_GB2312"/>
                <w:color w:val="000000"/>
                <w:sz w:val="20"/>
                <w:szCs w:val="20"/>
                <w:highlight w:val="none"/>
              </w:rPr>
              <w:t>数字城建档案平台正常运行</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保障档案入库、查询利用、验收工作正常运转。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56"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04"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档案案卷增加数量</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3万卷</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1.21万卷</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档案验收项目减少且小项目多。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04"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城建档案查询利用人次</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400" w:firstLineChars="200"/>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900人次</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848人次</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9.42</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库房管理</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达到“九防”管理要求</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达到“九防”管理要求，档案保存完好</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系统正常运行</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80%</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5.6</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任务完成时间</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bookmarkStart w:id="2" w:name="OLE_LINK4"/>
            <w:r>
              <w:rPr>
                <w:rFonts w:hint="eastAsia" w:ascii="仿宋_GB2312" w:hAnsi="仿宋_GB2312" w:eastAsia="仿宋_GB2312" w:cs="仿宋_GB2312"/>
                <w:color w:val="000000"/>
                <w:sz w:val="20"/>
                <w:szCs w:val="20"/>
                <w:highlight w:val="none"/>
                <w:lang w:val="en-US" w:eastAsia="zh-CN"/>
              </w:rPr>
              <w:t>2025年12月31日前</w:t>
            </w:r>
            <w:bookmarkEnd w:id="2"/>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在预算内</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50万元</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50万元</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5"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服务城市建设</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开发城建档案信息资源，加快房屋建筑工程和市政基础设施工程联合验收进程，为</w:t>
            </w:r>
            <w:r>
              <w:rPr>
                <w:rFonts w:hint="eastAsia" w:ascii="仿宋_GB2312" w:hAnsi="仿宋_GB2312" w:eastAsia="仿宋_GB2312" w:cs="仿宋_GB2312"/>
                <w:color w:val="000000"/>
                <w:sz w:val="20"/>
                <w:szCs w:val="20"/>
                <w:highlight w:val="none"/>
                <w:lang w:val="en-US" w:eastAsia="zh-CN"/>
              </w:rPr>
              <w:t>群众</w:t>
            </w:r>
            <w:r>
              <w:rPr>
                <w:rFonts w:hint="eastAsia" w:ascii="仿宋_GB2312" w:hAnsi="仿宋_GB2312" w:eastAsia="仿宋_GB2312" w:cs="仿宋_GB2312"/>
                <w:color w:val="000000"/>
                <w:sz w:val="20"/>
                <w:szCs w:val="20"/>
                <w:highlight w:val="none"/>
              </w:rPr>
              <w:t>提供档案查询利用，服务群众</w:t>
            </w:r>
            <w:r>
              <w:rPr>
                <w:rFonts w:hint="eastAsia" w:ascii="仿宋_GB2312" w:hAnsi="仿宋_GB2312" w:eastAsia="仿宋_GB2312" w:cs="仿宋_GB2312"/>
                <w:color w:val="000000"/>
                <w:sz w:val="20"/>
                <w:szCs w:val="20"/>
                <w:highlight w:val="none"/>
                <w:lang w:eastAsia="zh-CN"/>
              </w:rPr>
              <w:t>。</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已完成</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0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档案九防防治年限</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永久</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永久</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04"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服务对象满意度</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bookmarkStart w:id="3" w:name="OLE_LINK7"/>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98%</w:t>
            </w:r>
            <w:bookmarkEnd w:id="3"/>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98%</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0"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6"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04"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主管部门满意度</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98%</w:t>
            </w:r>
          </w:p>
        </w:tc>
        <w:tc>
          <w:tcPr>
            <w:tcW w:w="113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98%</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2" w:type="dxa"/>
            <w:gridSpan w:val="6"/>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95.04</w:t>
            </w:r>
          </w:p>
        </w:tc>
        <w:tc>
          <w:tcPr>
            <w:tcW w:w="141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rPr>
          <w:rFonts w:hint="default" w:ascii="Times New Roman" w:hAnsi="Times New Roman" w:eastAsia="仿宋_GB2312" w:cs="Times New Roman"/>
          <w:sz w:val="22"/>
          <w:szCs w:val="2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widowControl/>
        <w:spacing w:line="600" w:lineRule="exact"/>
        <w:jc w:val="left"/>
        <w:rPr>
          <w:rFonts w:hint="eastAsia" w:ascii="黑体" w:hAnsi="黑体" w:eastAsia="黑体" w:cs="黑体"/>
          <w:sz w:val="32"/>
          <w:szCs w:val="32"/>
          <w:highlight w:val="none"/>
        </w:rPr>
      </w:pPr>
    </w:p>
    <w:p>
      <w:pPr>
        <w:rPr>
          <w:rFonts w:hint="eastAsia"/>
        </w:rPr>
      </w:pPr>
      <w:r>
        <w:rPr>
          <w:rFonts w:hint="eastAsia" w:ascii="黑体" w:hAnsi="黑体" w:eastAsia="黑体" w:cs="黑体"/>
          <w:sz w:val="32"/>
          <w:szCs w:val="32"/>
          <w:highlight w:val="none"/>
        </w:rPr>
        <w:br w:type="page"/>
      </w:r>
    </w:p>
    <w:p>
      <w:pPr>
        <w:widowControl/>
        <w:spacing w:line="600" w:lineRule="exact"/>
        <w:jc w:val="left"/>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3-14</w:t>
      </w:r>
    </w:p>
    <w:p>
      <w:pPr>
        <w:pStyle w:val="5"/>
        <w:rPr>
          <w:rFonts w:hint="default"/>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135"/>
        <w:gridCol w:w="1025"/>
        <w:gridCol w:w="1224"/>
        <w:gridCol w:w="1134"/>
        <w:gridCol w:w="1134"/>
        <w:gridCol w:w="823"/>
        <w:gridCol w:w="870"/>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城市管网及污水处理补助</w:t>
            </w:r>
            <w:r>
              <w:rPr>
                <w:rFonts w:hint="eastAsia" w:ascii="仿宋_GB2312" w:hAnsi="仿宋_GB2312" w:eastAsia="仿宋_GB2312" w:cs="仿宋_GB2312"/>
                <w:color w:val="00000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岳阳市住房和城乡建设局</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岳阳市城市建设档案馆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3"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0"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26"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881.03</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289.16</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32.82%</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881.03</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对岳阳市中心城区排水管线补测并更新数据库，另外在未开展CCTV检测区域抽检20%管线进行排水管线清淤处理和CCTV管道检测。　　</w:t>
            </w:r>
          </w:p>
        </w:tc>
        <w:tc>
          <w:tcPr>
            <w:tcW w:w="4253"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项目已于2024年10月31日通过项目验收，数据采集完成地下管线普查长度3104.3km，CCTV清淤检测已全部完成，实际完成256.5km。</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3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数据采集新测</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1025km</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1016.52km</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9.92</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指标数据为预估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管线修补测</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2265km</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2088.3km</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7.38</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指标数据为预估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5" w:hRule="atLeast"/>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排水管网清淤、CCTV检测</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312km</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256.5km</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5.75</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项目目标抽检岳阳市岳阳楼区、君山区、云溪区20%排水管线，可研预估三区排水管线累计1560公里，实际三区排水管线为1200余公里，本项目完成240余公里CCTV检测抽检即满足合同需求，因此实际完成工作量低于合同预估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测量数据入库完成率</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任务完成时间</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2024年12月31日前</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2024年12月31日前</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预算控制数</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881.03万元</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289.16万元</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1.64</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完成验收但财评结论未出，无法支付剩余款项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服务城市建设</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为城市建设提供管线数据查询利用、服务群众</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为城市建设提供管线数据查询利用、服务群众</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雨污分流</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优化环境</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优化环境</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en-US"/>
              </w:rPr>
            </w:pPr>
            <w:r>
              <w:rPr>
                <w:rFonts w:hint="eastAsia" w:ascii="仿宋_GB2312" w:hAnsi="仿宋_GB2312" w:eastAsia="仿宋_GB2312" w:cs="仿宋_GB2312"/>
                <w:color w:val="000000"/>
                <w:sz w:val="20"/>
                <w:szCs w:val="20"/>
                <w:highlight w:val="none"/>
                <w:lang w:val="en-US" w:eastAsia="zh-CN"/>
              </w:rPr>
              <w:t>提供查询   和利用</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永久</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永久</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服务满意度</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98%</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98%</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2" w:type="dxa"/>
            <w:gridSpan w:val="6"/>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87.97</w:t>
            </w:r>
          </w:p>
        </w:tc>
        <w:tc>
          <w:tcPr>
            <w:tcW w:w="142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3-15</w:t>
      </w:r>
    </w:p>
    <w:p>
      <w:pPr>
        <w:pStyle w:val="5"/>
        <w:rPr>
          <w:rFonts w:hint="eastAsia"/>
          <w:lang w:val="en-US" w:eastAsia="zh-CN"/>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135"/>
        <w:gridCol w:w="1025"/>
        <w:gridCol w:w="1224"/>
        <w:gridCol w:w="1134"/>
        <w:gridCol w:w="1134"/>
        <w:gridCol w:w="808"/>
        <w:gridCol w:w="89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rPr>
              <w:t>城乡建设事务管理经费</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岳阳市住房和城乡建设局</w:t>
            </w:r>
            <w:r>
              <w:rPr>
                <w:rFonts w:hint="eastAsia" w:ascii="仿宋_GB2312" w:hAnsi="仿宋_GB2312" w:eastAsia="仿宋_GB2312" w:cs="仿宋_GB2312"/>
                <w:color w:val="000000"/>
                <w:sz w:val="20"/>
                <w:szCs w:val="20"/>
                <w:highlight w:val="none"/>
              </w:rPr>
              <w:t>　</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9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148.2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148.17</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148.17</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9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148.2</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148.17</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148.17</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9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9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0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9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一）建筑从业人员培训考核。依法组织住建行业培训考核8100人次。（二）无障碍环境建设。落实《中华人民共和国无障碍环境建设法》宣贯工作。（三）国有土地房屋征收。规范国有土地上房屋征收与补偿活动，维护公共利益，保障被征收人合法权益。（四）居民自建房安全管理。开展居民自建房管理从业人员培训，邀请专家学者授课。（五）建设工程造价服务。进一步规范造价行业依据执行与质量监督工作。（六）海绵城市专项督导和评估。聘请专家协助开展市城区220个房建和市政项目海绵设施督导检查和评估。大力加强海绵城市宣传。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（一）建筑从业人员培训考核。依法组织住建行业培训考核</w:t>
            </w:r>
            <w:r>
              <w:rPr>
                <w:rFonts w:hint="eastAsia" w:ascii="仿宋_GB2312" w:hAnsi="仿宋_GB2312" w:eastAsia="仿宋_GB2312" w:cs="仿宋_GB2312"/>
                <w:color w:val="000000"/>
                <w:sz w:val="20"/>
                <w:szCs w:val="20"/>
                <w:highlight w:val="none"/>
                <w:lang w:val="en-US" w:eastAsia="zh-CN"/>
              </w:rPr>
              <w:t>24743</w:t>
            </w:r>
            <w:r>
              <w:rPr>
                <w:rFonts w:hint="eastAsia" w:ascii="仿宋_GB2312" w:hAnsi="仿宋_GB2312" w:eastAsia="仿宋_GB2312" w:cs="仿宋_GB2312"/>
                <w:color w:val="000000"/>
                <w:sz w:val="20"/>
                <w:szCs w:val="20"/>
                <w:highlight w:val="none"/>
              </w:rPr>
              <w:t>人次。（二）无障碍环境建设。落实《中华人民共和国无障碍环境建设法》宣贯工作。（三）国有土地房屋征收。规范国有土地上房屋征收与补偿活动，维护公共利益，保障被征收人合法权益。（四）居民自建房安全管理。开展居民自建房管理从业人员培训，邀请专家学者授课。（五）建设工程造价服务。进一步规范造价行业依据执行与质量监督工作。（六）海绵城市专项督导和评估。聘请专家协助开展市城区220个房建和市政项目海绵设施督导检查和评估。大力加强海绵城市宣传。</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建筑施工企业主要负责人、项目负责人和专职安全生产管理人员考核</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2400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953</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建筑施工特种作业人员初次取证考核</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700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1171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建筑施工特种作业人员资格证书延期复核</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300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519</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住建领域施工现场专业人员培训测试900人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900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522</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住建领域施工现场专业人员继续教育</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2200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5202</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建筑工人培训</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600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15567</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土建工程专业初中级职称考试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1000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809</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开展2次造价培训</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每2月发布一期信息价</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工程造价行业检查工作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人工费指数测算</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造价咨询成果文件质量评价</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海绵城市建设项目实施过程监管检查次数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120</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海绵城市建设培训次数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海绵城市宣传次数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公众参与、媒体报道无障碍设施工作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居民自建房安全政策宣传</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居民自建房从业人员培训</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做好组考工作、保障考试顺利完成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lang w:val="en-US" w:eastAsia="zh-CN"/>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造价咨询成果文件质量合格率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80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80</w:t>
            </w:r>
            <w:r>
              <w:rPr>
                <w:rFonts w:hint="eastAsia" w:ascii="仿宋_GB2312" w:hAnsi="仿宋_GB2312" w:eastAsia="仿宋_GB2312" w:cs="仿宋_GB2312"/>
                <w:color w:val="000000"/>
                <w:sz w:val="20"/>
                <w:szCs w:val="20"/>
                <w:highlight w:val="none"/>
                <w:lang w:val="en-US" w:eastAsia="zh-CN"/>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海绵城市建设效果评估等级优良率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80</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80</w:t>
            </w:r>
            <w:r>
              <w:rPr>
                <w:rFonts w:hint="eastAsia" w:ascii="仿宋_GB2312" w:hAnsi="仿宋_GB2312" w:eastAsia="仿宋_GB2312" w:cs="仿宋_GB2312"/>
                <w:color w:val="000000"/>
                <w:sz w:val="20"/>
                <w:szCs w:val="20"/>
                <w:highlight w:val="none"/>
                <w:lang w:val="en-US" w:eastAsia="zh-CN"/>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严格完成全年工作计划</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2025年底前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2025年底前</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合理使用预算资金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控制在预算内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控制在预算内</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为促进我市住房和城乡建设事业平稳发展提供人才和智力支持</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为社会创造经济效益</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为社会创造经济效益</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对建筑企业考核人才提供良好服务（人才达标率）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70%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70%</w:t>
            </w:r>
          </w:p>
        </w:tc>
        <w:tc>
          <w:tcPr>
            <w:tcW w:w="8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增强广大群众的无障碍理念</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增强无障碍设施的建设和维护，体现党和政府对残障人士、老年人的关爱，促进人居和谐发展</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统筹发挥自然生态功能和人工干预功能，实施源头减排、过程控制、系统治理。切实提高城市排水、防涝、防洪和防灾减灾能力</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社会效益良好</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社会效益良好</w:t>
            </w:r>
          </w:p>
        </w:tc>
        <w:tc>
          <w:tcPr>
            <w:tcW w:w="8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充分发挥山水林田湖草等原始地形地貌对降雨的积存作用，植被、土壤等自然下垫面对雨水的渗透作用，湿地、水体等对水质的自然净化作用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8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提高本地造价从业人员专业水平，促进本地区企业、行业发展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提高本地造价从业人员专业水平，促进本地区企业、行业发展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提高本地造价从业人员专业水平，促进本地区企业、行业发展</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推动绿色发展，促进人与自然和谐共生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推动绿色发展，促进人与自然和谐共生</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推动绿色发展，促进人与自然和谐共生</w:t>
            </w:r>
          </w:p>
        </w:tc>
        <w:tc>
          <w:tcPr>
            <w:tcW w:w="8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2.5</w:t>
            </w:r>
          </w:p>
        </w:tc>
        <w:tc>
          <w:tcPr>
            <w:tcW w:w="8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保障职称考试顺利开展和完成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保障职称考试顺利开展和完成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保障职称考试顺利开展和完成</w:t>
            </w:r>
          </w:p>
        </w:tc>
        <w:tc>
          <w:tcPr>
            <w:tcW w:w="80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2.5</w:t>
            </w:r>
          </w:p>
        </w:tc>
        <w:tc>
          <w:tcPr>
            <w:tcW w:w="8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服务对象满意度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95</w:t>
            </w:r>
            <w:r>
              <w:rPr>
                <w:rFonts w:hint="eastAsia" w:ascii="仿宋_GB2312" w:hAnsi="仿宋_GB2312" w:eastAsia="仿宋_GB2312" w:cs="仿宋_GB2312"/>
                <w:color w:val="000000"/>
                <w:sz w:val="20"/>
                <w:szCs w:val="20"/>
                <w:highlight w:val="none"/>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95</w:t>
            </w:r>
            <w:r>
              <w:rPr>
                <w:rFonts w:hint="eastAsia" w:ascii="仿宋_GB2312" w:hAnsi="仿宋_GB2312" w:eastAsia="仿宋_GB2312" w:cs="仿宋_GB2312"/>
                <w:color w:val="000000"/>
                <w:sz w:val="20"/>
                <w:szCs w:val="20"/>
                <w:highlight w:val="none"/>
                <w:lang w:val="en-US" w:eastAsia="zh-CN"/>
              </w:rPr>
              <w:t>%</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widowControl/>
        <w:spacing w:line="4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3-16</w:t>
      </w:r>
    </w:p>
    <w:p>
      <w:pPr>
        <w:pStyle w:val="5"/>
        <w:rPr>
          <w:rFonts w:hint="default"/>
          <w:lang w:val="en-US" w:eastAsia="zh-CN"/>
        </w:rPr>
      </w:pPr>
    </w:p>
    <w:p>
      <w:pPr>
        <w:widowControl/>
        <w:spacing w:line="600" w:lineRule="exact"/>
        <w:jc w:val="center"/>
        <w:rPr>
          <w:rFonts w:hint="eastAsia"/>
        </w:rPr>
      </w:pPr>
      <w:r>
        <w:rPr>
          <w:rFonts w:hint="eastAsia" w:ascii="方正小标宋简体" w:hAnsi="方正小标宋简体" w:eastAsia="方正小标宋简体" w:cs="方正小标宋简体"/>
          <w:color w:val="000000"/>
          <w:sz w:val="36"/>
          <w:szCs w:val="36"/>
          <w:highlight w:val="none"/>
        </w:rPr>
        <w:t>2025年度项目支出绩效自评表</w:t>
      </w:r>
    </w:p>
    <w:tbl>
      <w:tblPr>
        <w:tblStyle w:val="14"/>
        <w:tblW w:w="9851" w:type="dxa"/>
        <w:jc w:val="center"/>
        <w:tblLayout w:type="autofit"/>
        <w:tblCellMar>
          <w:top w:w="0" w:type="dxa"/>
          <w:left w:w="108" w:type="dxa"/>
          <w:bottom w:w="0" w:type="dxa"/>
          <w:right w:w="108" w:type="dxa"/>
        </w:tblCellMar>
      </w:tblPr>
      <w:tblGrid>
        <w:gridCol w:w="1075"/>
        <w:gridCol w:w="1140"/>
        <w:gridCol w:w="1010"/>
        <w:gridCol w:w="1239"/>
        <w:gridCol w:w="1155"/>
        <w:gridCol w:w="1126"/>
        <w:gridCol w:w="825"/>
        <w:gridCol w:w="871"/>
        <w:gridCol w:w="1410"/>
      </w:tblGrid>
      <w:tr>
        <w:tblPrEx>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项目支出名称</w:t>
            </w:r>
          </w:p>
        </w:tc>
        <w:tc>
          <w:tcPr>
            <w:tcW w:w="8776" w:type="dxa"/>
            <w:gridSpan w:val="8"/>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城市地下管网及设施专项资金　</w:t>
            </w:r>
          </w:p>
        </w:tc>
      </w:tr>
      <w:tr>
        <w:tblPrEx>
          <w:tblCellMar>
            <w:top w:w="0" w:type="dxa"/>
            <w:left w:w="108" w:type="dxa"/>
            <w:bottom w:w="0" w:type="dxa"/>
            <w:right w:w="108" w:type="dxa"/>
          </w:tblCellMar>
        </w:tblPrEx>
        <w:trPr>
          <w:jc w:val="center"/>
        </w:trPr>
        <w:tc>
          <w:tcPr>
            <w:tcW w:w="1075"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44" w:type="dxa"/>
            <w:gridSpan w:val="4"/>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岳阳市住房和城乡建设局</w:t>
            </w:r>
          </w:p>
        </w:tc>
        <w:tc>
          <w:tcPr>
            <w:tcW w:w="1126" w:type="dxa"/>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06" w:type="dxa"/>
            <w:gridSpan w:val="3"/>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jc w:val="center"/>
        </w:trPr>
        <w:tc>
          <w:tcPr>
            <w:tcW w:w="1075"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50" w:type="dxa"/>
            <w:gridSpan w:val="2"/>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1239" w:type="dxa"/>
            <w:tcBorders>
              <w:top w:val="nil"/>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55" w:type="dxa"/>
            <w:tcBorders>
              <w:top w:val="nil"/>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26"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5"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1"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0"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39" w:type="dxa"/>
            <w:tcBorders>
              <w:top w:val="nil"/>
              <w:left w:val="nil"/>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55"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58034</w:t>
            </w:r>
          </w:p>
        </w:tc>
        <w:tc>
          <w:tcPr>
            <w:tcW w:w="1126"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22966.81</w:t>
            </w:r>
          </w:p>
        </w:tc>
        <w:tc>
          <w:tcPr>
            <w:tcW w:w="825" w:type="dxa"/>
            <w:tcBorders>
              <w:top w:val="nil"/>
              <w:left w:val="nil"/>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1"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39.5</w:t>
            </w:r>
          </w:p>
        </w:tc>
        <w:tc>
          <w:tcPr>
            <w:tcW w:w="1410"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3.95</w:t>
            </w:r>
          </w:p>
        </w:tc>
      </w:tr>
      <w:tr>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39"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55"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58034</w:t>
            </w:r>
          </w:p>
        </w:tc>
        <w:tc>
          <w:tcPr>
            <w:tcW w:w="1126"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22966.81</w:t>
            </w:r>
          </w:p>
        </w:tc>
        <w:tc>
          <w:tcPr>
            <w:tcW w:w="825"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10</w:t>
            </w:r>
          </w:p>
        </w:tc>
        <w:tc>
          <w:tcPr>
            <w:tcW w:w="871"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39.5</w:t>
            </w:r>
          </w:p>
        </w:tc>
        <w:tc>
          <w:tcPr>
            <w:tcW w:w="1410"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3.95</w:t>
            </w:r>
          </w:p>
        </w:tc>
      </w:tr>
      <w:tr>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0"/>
            <w:vAlign w:val="center"/>
          </w:tcPr>
          <w:p>
            <w:pPr>
              <w:widowControl/>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39"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55"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2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5"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1"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0"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0" w:type="dxa"/>
            <w:gridSpan w:val="2"/>
            <w:tcBorders>
              <w:top w:val="nil"/>
              <w:left w:val="nil"/>
              <w:bottom w:val="single" w:color="auto" w:sz="4" w:space="0"/>
              <w:right w:val="single" w:color="auto" w:sz="4" w:space="0"/>
            </w:tcBorders>
            <w:noWrap w:val="0"/>
            <w:vAlign w:val="center"/>
          </w:tcPr>
          <w:p>
            <w:pPr>
              <w:widowControl/>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39"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55"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2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5"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1"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0"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44" w:type="dxa"/>
            <w:gridSpan w:val="4"/>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32" w:type="dxa"/>
            <w:gridSpan w:val="4"/>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75"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4544" w:type="dxa"/>
            <w:gridSpan w:val="4"/>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发挥超长期特别国债资金激励、带动作用，支持重点领域节能降碳改造，促进项目尽快落地实施。</w:t>
            </w:r>
          </w:p>
        </w:tc>
        <w:tc>
          <w:tcPr>
            <w:tcW w:w="4232" w:type="dxa"/>
            <w:gridSpan w:val="4"/>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发挥超长期特别国债资金激励、带动作用，支持重点领域节能降碳改造，已促进项目落地实施。</w:t>
            </w:r>
          </w:p>
        </w:tc>
      </w:tr>
      <w:tr>
        <w:tblPrEx>
          <w:tblCellMar>
            <w:top w:w="0" w:type="dxa"/>
            <w:left w:w="108" w:type="dxa"/>
            <w:bottom w:w="0" w:type="dxa"/>
            <w:right w:w="108" w:type="dxa"/>
          </w:tblCellMar>
        </w:tblPrEx>
        <w:trPr>
          <w:jc w:val="center"/>
        </w:trPr>
        <w:tc>
          <w:tcPr>
            <w:tcW w:w="1075" w:type="dxa"/>
            <w:vMerge w:val="restart"/>
            <w:tcBorders>
              <w:top w:val="nil"/>
              <w:left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hint="eastAsia" w:ascii="仿宋_GB2312" w:hAnsi="仿宋_GB2312" w:eastAsia="仿宋_GB2312" w:cs="仿宋_GB2312"/>
                <w:color w:val="000000"/>
                <w:sz w:val="20"/>
                <w:szCs w:val="20"/>
              </w:rPr>
            </w:pP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实施超长期特别国债和中央预算内投资项目数量</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9个</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9个</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分部分项验收合格率</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100%</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项目建设按期完成</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按合同约定</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按合同约定</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13</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未发生超概算现象</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不超概算</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不超概算</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11</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11</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hint="eastAsia" w:ascii="仿宋_GB2312" w:hAnsi="仿宋_GB2312" w:eastAsia="仿宋_GB2312" w:cs="仿宋_GB2312"/>
                <w:color w:val="000000"/>
                <w:sz w:val="20"/>
                <w:szCs w:val="20"/>
              </w:rPr>
            </w:pPr>
          </w:p>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w:t>
            </w:r>
            <w:r>
              <w:rPr>
                <w:rFonts w:hint="default" w:ascii="仿宋_GB2312" w:hAnsi="仿宋_GB2312" w:eastAsia="仿宋_GB2312" w:cs="仿宋_GB2312"/>
                <w:color w:val="000000"/>
                <w:sz w:val="20"/>
                <w:szCs w:val="20"/>
                <w:lang w:val="en-US"/>
              </w:rPr>
              <w:t>3</w:t>
            </w:r>
            <w:r>
              <w:rPr>
                <w:rFonts w:hint="eastAsia" w:ascii="仿宋_GB2312" w:hAnsi="仿宋_GB2312" w:eastAsia="仿宋_GB2312" w:cs="仿宋_GB2312"/>
                <w:color w:val="000000"/>
                <w:sz w:val="20"/>
                <w:szCs w:val="20"/>
                <w:lang w:val="en-US" w:eastAsia="zh-CN"/>
              </w:rPr>
              <w:t>0</w:t>
            </w:r>
            <w:r>
              <w:rPr>
                <w:rFonts w:hint="eastAsia" w:ascii="仿宋_GB2312" w:hAnsi="仿宋_GB2312" w:eastAsia="仿宋_GB2312" w:cs="仿宋_GB2312"/>
                <w:color w:val="000000"/>
                <w:sz w:val="20"/>
                <w:szCs w:val="20"/>
              </w:rPr>
              <w:t>分）</w:t>
            </w:r>
          </w:p>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有良好经济效益</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有良好经济效益</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有良好经济效益</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8</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8</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有良好社会效益</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有良好社会效益</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有良好社会效益</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8</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8</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0" w:hRule="atLeast"/>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有良好的生态效益</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有良好的生态效益</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有良好的生态效益</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8</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8</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可持续性效益良好</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可持续性效益良好</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可持续性效益良好</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6</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default" w:ascii="仿宋_GB2312" w:hAnsi="仿宋_GB2312" w:eastAsia="仿宋_GB2312" w:cs="仿宋_GB2312"/>
                <w:color w:val="000000"/>
                <w:sz w:val="20"/>
                <w:szCs w:val="20"/>
                <w:lang w:val="en-US"/>
              </w:rPr>
              <w:t>6</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39"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85%</w:t>
            </w:r>
          </w:p>
        </w:tc>
        <w:tc>
          <w:tcPr>
            <w:tcW w:w="112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85%</w:t>
            </w:r>
          </w:p>
        </w:tc>
        <w:tc>
          <w:tcPr>
            <w:tcW w:w="82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45"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5" w:type="dxa"/>
            <w:tcBorders>
              <w:top w:val="nil"/>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1"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auto"/>
                <w:sz w:val="20"/>
                <w:szCs w:val="20"/>
                <w:highlight w:val="none"/>
                <w:shd w:val="clear" w:color="auto" w:fill="auto"/>
                <w:lang w:val="en-US" w:eastAsia="zh-CN"/>
              </w:rPr>
            </w:pPr>
            <w:r>
              <w:rPr>
                <w:rFonts w:hint="eastAsia" w:ascii="仿宋_GB2312" w:hAnsi="仿宋_GB2312" w:eastAsia="仿宋_GB2312" w:cs="仿宋_GB2312"/>
                <w:color w:val="auto"/>
                <w:sz w:val="20"/>
                <w:szCs w:val="20"/>
                <w:highlight w:val="none"/>
                <w:shd w:val="clear" w:color="auto" w:fill="auto"/>
              </w:rPr>
              <w:t>　</w:t>
            </w:r>
            <w:r>
              <w:rPr>
                <w:rFonts w:hint="eastAsia" w:ascii="仿宋_GB2312" w:hAnsi="仿宋_GB2312" w:eastAsia="仿宋_GB2312" w:cs="仿宋_GB2312"/>
                <w:color w:val="auto"/>
                <w:sz w:val="20"/>
                <w:szCs w:val="20"/>
                <w:highlight w:val="none"/>
                <w:shd w:val="clear" w:color="auto" w:fill="auto"/>
                <w:lang w:val="en-US" w:eastAsia="zh-CN"/>
              </w:rPr>
              <w:t>93.9</w:t>
            </w:r>
          </w:p>
        </w:tc>
        <w:tc>
          <w:tcPr>
            <w:tcW w:w="1410"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widowControl/>
        <w:spacing w:line="400" w:lineRule="exact"/>
        <w:jc w:val="left"/>
        <w:rPr>
          <w:rFonts w:hint="eastAsia" w:ascii="黑体" w:hAnsi="黑体" w:eastAsia="黑体" w:cs="黑体"/>
          <w:sz w:val="32"/>
          <w:szCs w:val="32"/>
          <w:highlight w:val="none"/>
          <w:lang w:val="en-US" w:eastAsia="zh-CN"/>
        </w:rPr>
      </w:pPr>
      <w:r>
        <w:rPr>
          <w:rFonts w:eastAsia="仿宋_GB2312"/>
          <w:sz w:val="22"/>
          <w:szCs w:val="22"/>
        </w:rPr>
        <w:t xml:space="preserve">填表人：       </w:t>
      </w:r>
      <w:r>
        <w:rPr>
          <w:rFonts w:hint="eastAsia" w:eastAsia="仿宋_GB2312"/>
          <w:sz w:val="22"/>
          <w:szCs w:val="22"/>
        </w:rPr>
        <w:t xml:space="preserve"> </w:t>
      </w:r>
      <w:r>
        <w:rPr>
          <w:rFonts w:eastAsia="仿宋_GB2312"/>
          <w:sz w:val="22"/>
          <w:szCs w:val="22"/>
        </w:rPr>
        <w:t xml:space="preserve">填报日期：     </w:t>
      </w:r>
      <w:r>
        <w:rPr>
          <w:rFonts w:hint="eastAsia" w:eastAsia="仿宋_GB2312"/>
          <w:sz w:val="22"/>
          <w:szCs w:val="22"/>
        </w:rPr>
        <w:t xml:space="preserve">      </w:t>
      </w:r>
      <w:r>
        <w:rPr>
          <w:rFonts w:eastAsia="仿宋_GB2312"/>
          <w:sz w:val="22"/>
          <w:szCs w:val="22"/>
        </w:rPr>
        <w:t xml:space="preserve">联系电话：   </w:t>
      </w:r>
      <w:r>
        <w:rPr>
          <w:rFonts w:hint="eastAsia" w:eastAsia="仿宋_GB2312"/>
          <w:sz w:val="22"/>
          <w:szCs w:val="22"/>
        </w:rPr>
        <w:t xml:space="preserve">         </w:t>
      </w:r>
      <w:r>
        <w:rPr>
          <w:rFonts w:eastAsia="仿宋_GB2312"/>
          <w:sz w:val="22"/>
          <w:szCs w:val="22"/>
        </w:rPr>
        <w:t xml:space="preserve"> 单位负责人签字：</w:t>
      </w:r>
      <w:r>
        <w:rPr>
          <w:rFonts w:eastAsia="仿宋_GB2312"/>
          <w:sz w:val="22"/>
          <w:szCs w:val="22"/>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3-17</w:t>
      </w:r>
    </w:p>
    <w:p>
      <w:pPr>
        <w:pStyle w:val="5"/>
        <w:rPr>
          <w:rFonts w:hint="default"/>
          <w:lang w:val="en-US"/>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2025年度项目支出绩效自评表</w:t>
      </w:r>
    </w:p>
    <w:tbl>
      <w:tblPr>
        <w:tblStyle w:val="14"/>
        <w:tblW w:w="9851" w:type="dxa"/>
        <w:jc w:val="center"/>
        <w:tblLayout w:type="fixed"/>
        <w:tblCellMar>
          <w:top w:w="0" w:type="dxa"/>
          <w:left w:w="108" w:type="dxa"/>
          <w:bottom w:w="0" w:type="dxa"/>
          <w:right w:w="108" w:type="dxa"/>
        </w:tblCellMar>
      </w:tblPr>
      <w:tblGrid>
        <w:gridCol w:w="1080"/>
        <w:gridCol w:w="1120"/>
        <w:gridCol w:w="1031"/>
        <w:gridCol w:w="1256"/>
        <w:gridCol w:w="1106"/>
        <w:gridCol w:w="1144"/>
        <w:gridCol w:w="823"/>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rPr>
              <w:t>城市管网及污水处理补助资金</w:t>
            </w:r>
          </w:p>
        </w:tc>
      </w:tr>
      <w:tr>
        <w:tblPrEx>
          <w:tblCellMar>
            <w:top w:w="0" w:type="dxa"/>
            <w:left w:w="108" w:type="dxa"/>
            <w:bottom w:w="0" w:type="dxa"/>
            <w:right w:w="108" w:type="dxa"/>
          </w:tblCellMar>
        </w:tblPrEx>
        <w:trPr>
          <w:trHeight w:val="229" w:hRule="atLeast"/>
          <w:jc w:val="center"/>
        </w:trPr>
        <w:tc>
          <w:tcPr>
            <w:tcW w:w="108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3" w:type="dxa"/>
            <w:gridSpan w:val="4"/>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岳阳市住房和城乡建设局</w:t>
            </w:r>
          </w:p>
        </w:tc>
        <w:tc>
          <w:tcPr>
            <w:tcW w:w="1144" w:type="dxa"/>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4" w:type="dxa"/>
            <w:gridSpan w:val="3"/>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51" w:type="dxa"/>
            <w:gridSpan w:val="2"/>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56" w:type="dxa"/>
            <w:tcBorders>
              <w:top w:val="nil"/>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06" w:type="dxa"/>
            <w:tcBorders>
              <w:top w:val="nil"/>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44"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3"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1" w:type="dxa"/>
            <w:gridSpan w:val="2"/>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5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06"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7343.39</w:t>
            </w:r>
          </w:p>
        </w:tc>
        <w:tc>
          <w:tcPr>
            <w:tcW w:w="1144"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2932.23</w:t>
            </w:r>
          </w:p>
        </w:tc>
        <w:tc>
          <w:tcPr>
            <w:tcW w:w="823" w:type="dxa"/>
            <w:tcBorders>
              <w:top w:val="nil"/>
              <w:left w:val="nil"/>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39.9%</w:t>
            </w:r>
          </w:p>
        </w:tc>
        <w:tc>
          <w:tcPr>
            <w:tcW w:w="1418" w:type="dxa"/>
            <w:tcBorders>
              <w:top w:val="nil"/>
              <w:left w:val="nil"/>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3.99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1" w:type="dxa"/>
            <w:gridSpan w:val="2"/>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5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06"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7343.39</w:t>
            </w:r>
          </w:p>
        </w:tc>
        <w:tc>
          <w:tcPr>
            <w:tcW w:w="1144"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2932.23</w:t>
            </w:r>
          </w:p>
        </w:tc>
        <w:tc>
          <w:tcPr>
            <w:tcW w:w="823"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10</w:t>
            </w:r>
          </w:p>
        </w:tc>
        <w:tc>
          <w:tcPr>
            <w:tcW w:w="873"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39.9%</w:t>
            </w:r>
          </w:p>
        </w:tc>
        <w:tc>
          <w:tcPr>
            <w:tcW w:w="1418" w:type="dxa"/>
            <w:tcBorders>
              <w:top w:val="nil"/>
              <w:left w:val="nil"/>
              <w:bottom w:val="single" w:color="auto" w:sz="4" w:space="0"/>
              <w:right w:val="single" w:color="auto" w:sz="4" w:space="0"/>
            </w:tcBorders>
            <w:shd w:val="clear" w:color="auto" w:fill="auto"/>
            <w:noWrap w:val="0"/>
            <w:vAlign w:val="center"/>
          </w:tcPr>
          <w:p>
            <w:pPr>
              <w:widowControl/>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3.99</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1" w:type="dxa"/>
            <w:gridSpan w:val="2"/>
            <w:tcBorders>
              <w:top w:val="nil"/>
              <w:left w:val="nil"/>
              <w:bottom w:val="single" w:color="auto" w:sz="4" w:space="0"/>
              <w:right w:val="single" w:color="auto" w:sz="4" w:space="0"/>
            </w:tcBorders>
            <w:noWrap w:val="0"/>
            <w:vAlign w:val="center"/>
          </w:tcPr>
          <w:p>
            <w:pPr>
              <w:widowControl/>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5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0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44"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3"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2151" w:type="dxa"/>
            <w:gridSpan w:val="2"/>
            <w:tcBorders>
              <w:top w:val="nil"/>
              <w:left w:val="nil"/>
              <w:bottom w:val="single" w:color="auto" w:sz="4" w:space="0"/>
              <w:right w:val="single" w:color="auto" w:sz="4" w:space="0"/>
            </w:tcBorders>
            <w:noWrap w:val="0"/>
            <w:vAlign w:val="center"/>
          </w:tcPr>
          <w:p>
            <w:pPr>
              <w:widowControl/>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5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06"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44"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3"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3" w:type="dxa"/>
            <w:gridSpan w:val="4"/>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8" w:type="dxa"/>
            <w:gridSpan w:val="4"/>
            <w:tcBorders>
              <w:top w:val="single" w:color="auto" w:sz="4" w:space="0"/>
              <w:left w:val="nil"/>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4513" w:type="dxa"/>
            <w:gridSpan w:val="4"/>
            <w:tcBorders>
              <w:top w:val="single" w:color="auto" w:sz="4" w:space="0"/>
              <w:left w:val="nil"/>
              <w:bottom w:val="single" w:color="auto" w:sz="4" w:space="0"/>
              <w:right w:val="single" w:color="000000"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在海绵示范项目建设中落实海绵理念，完成海绵建设项目9个。</w:t>
            </w:r>
          </w:p>
        </w:tc>
        <w:tc>
          <w:tcPr>
            <w:tcW w:w="4258" w:type="dxa"/>
            <w:gridSpan w:val="4"/>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在海绵示范项目建设中落实海绵理念，完成海绵建设项目9个。</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hint="eastAsia" w:ascii="仿宋_GB2312" w:hAnsi="仿宋_GB2312" w:eastAsia="仿宋_GB2312" w:cs="仿宋_GB2312"/>
                <w:color w:val="000000"/>
                <w:sz w:val="20"/>
                <w:szCs w:val="20"/>
              </w:rPr>
            </w:pP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综合管线增补录公里数、普查公里数</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综合管线增补录7645公里、普查1688公里</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综合管线增补录9669.66公里、市政地下通道6500立方米，普查3553.7公里</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智慧平台外部传感设备安装数量、软件开发完成度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外部传感设备安装101套、软件开发完成度100%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外部传感设备安装101套、软件开发完成度100%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西环线片区项目完成产值</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21000万元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17528.72万元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青年路小学项目完成产值</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187.16万元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187.16万元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51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市人大庭院改造前期工作</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snapToGrid w:val="0"/>
                <w:color w:val="000000"/>
                <w:kern w:val="0"/>
                <w:sz w:val="20"/>
                <w:szCs w:val="20"/>
              </w:rPr>
              <w:t>660.88万元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snapToGrid w:val="0"/>
                <w:color w:val="000000"/>
                <w:kern w:val="0"/>
                <w:sz w:val="20"/>
                <w:szCs w:val="20"/>
              </w:rPr>
              <w:t>660.88万元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市委大院改造项目完成产值</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1178.04万元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1178.04万元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25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306省道九华山段改造项目完成产值</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381.05万元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381.05万元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洞庭大桥改造项目完成产值</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378.53万元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378.53万元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842"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themeColor="text1"/>
                <w:kern w:val="0"/>
                <w:sz w:val="20"/>
                <w:szCs w:val="20"/>
                <w14:textFill>
                  <w14:solidFill>
                    <w14:schemeClr w14:val="tx1"/>
                  </w14:solidFill>
                </w14:textFill>
              </w:rPr>
            </w:pPr>
            <w:r>
              <w:rPr>
                <w:rFonts w:hint="eastAsia" w:ascii="仿宋_GB2312" w:hAnsi="仿宋_GB2312" w:eastAsia="仿宋_GB2312" w:cs="仿宋_GB2312"/>
                <w:color w:val="000000" w:themeColor="text1"/>
                <w:kern w:val="0"/>
                <w:sz w:val="20"/>
                <w:szCs w:val="20"/>
                <w14:textFill>
                  <w14:solidFill>
                    <w14:schemeClr w14:val="tx1"/>
                  </w14:solidFill>
                </w14:textFill>
              </w:rPr>
              <w:t>岳阳市特殊教育学校等3个学校类海绵改造项目完成产值</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themeColor="text1"/>
                <w:kern w:val="0"/>
                <w:sz w:val="20"/>
                <w:szCs w:val="20"/>
                <w14:textFill>
                  <w14:solidFill>
                    <w14:schemeClr w14:val="tx1"/>
                  </w14:solidFill>
                </w14:textFill>
              </w:rPr>
            </w:pPr>
            <w:r>
              <w:rPr>
                <w:rFonts w:hint="eastAsia" w:ascii="仿宋_GB2312" w:hAnsi="仿宋_GB2312" w:eastAsia="仿宋_GB2312" w:cs="仿宋_GB2312"/>
                <w:color w:val="000000" w:themeColor="text1"/>
                <w:kern w:val="0"/>
                <w:sz w:val="20"/>
                <w:szCs w:val="20"/>
                <w14:textFill>
                  <w14:solidFill>
                    <w14:schemeClr w14:val="tx1"/>
                  </w14:solidFill>
                </w14:textFill>
              </w:rPr>
              <w:t>992万元</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themeColor="text1"/>
                <w:kern w:val="0"/>
                <w:sz w:val="20"/>
                <w:szCs w:val="20"/>
                <w14:textFill>
                  <w14:solidFill>
                    <w14:schemeClr w14:val="tx1"/>
                  </w14:solidFill>
                </w14:textFill>
              </w:rPr>
            </w:pPr>
            <w:r>
              <w:rPr>
                <w:rFonts w:hint="eastAsia" w:ascii="仿宋_GB2312" w:hAnsi="仿宋_GB2312" w:eastAsia="仿宋_GB2312" w:cs="仿宋_GB2312"/>
                <w:color w:val="000000" w:themeColor="text1"/>
                <w:kern w:val="0"/>
                <w:sz w:val="20"/>
                <w:szCs w:val="20"/>
                <w14:textFill>
                  <w14:solidFill>
                    <w14:schemeClr w14:val="tx1"/>
                  </w14:solidFill>
                </w14:textFill>
              </w:rPr>
              <w:t>992万元</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西环线片区项目质量达标率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青年路小学项目质量达标率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市人大庭院改造项目质量达标率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市委大院质量达标率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306省道九华山段改造项目质量达标率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洞庭大桥改造项目质量达标率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综合管线项目进度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智慧平台项目进度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99%</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99%</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西环线片区项目进度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92%</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青年路小学项目进度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市人大庭院改造项目进度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市委大院改造项目进度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306省道九华山段改造项目进度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trHeight w:val="471"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洞庭大桥改造项目进度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Calibri" w:eastAsia="仿宋_GB2312" w:cs="仿宋_GB2312"/>
                <w:color w:val="000000"/>
                <w:kern w:val="0"/>
                <w:sz w:val="20"/>
                <w:szCs w:val="20"/>
                <w:lang w:bidi="ar"/>
              </w:rPr>
              <w:t>社会经济成本控制率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068"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生态环境成本控制率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9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hint="eastAsia" w:ascii="仿宋_GB2312" w:hAnsi="仿宋_GB2312" w:eastAsia="仿宋_GB2312" w:cs="仿宋_GB2312"/>
                <w:color w:val="000000"/>
                <w:sz w:val="20"/>
                <w:szCs w:val="20"/>
              </w:rPr>
            </w:pPr>
          </w:p>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提升城市营商环境、吸引社会资金投入，促进居民消费</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海绵城市建设理念推广</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广泛推广</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广泛推广</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642"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tc>
        <w:tc>
          <w:tcPr>
            <w:tcW w:w="1256" w:type="dxa"/>
            <w:tcBorders>
              <w:top w:val="single" w:color="auto" w:sz="4" w:space="0"/>
              <w:left w:val="single" w:color="auto" w:sz="4" w:space="0"/>
              <w:bottom w:val="single" w:color="auto" w:sz="4" w:space="0"/>
              <w:right w:val="single" w:color="auto" w:sz="4" w:space="0"/>
            </w:tcBorders>
            <w:noWrap w:val="0"/>
            <w:vAlign w:val="center"/>
          </w:tcPr>
          <w:p>
            <w:r>
              <w:rPr>
                <w:rFonts w:hint="eastAsia" w:ascii="仿宋_GB2312" w:hAnsi="仿宋_GB2312" w:eastAsia="仿宋_GB2312" w:cs="仿宋_GB2312"/>
                <w:color w:val="000000"/>
                <w:kern w:val="0"/>
                <w:sz w:val="20"/>
                <w:szCs w:val="20"/>
              </w:rPr>
              <w:t>内涝防治、黑臭水体消除</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ascii="仿宋_GB2312" w:hAnsi="仿宋_GB2312" w:eastAsia="仿宋_GB2312" w:cs="仿宋_GB2312"/>
                <w:color w:val="000000"/>
                <w:kern w:val="0"/>
                <w:sz w:val="20"/>
                <w:szCs w:val="20"/>
              </w:rPr>
              <w:t>100%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水环境提升、人居环境改善</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环境改善</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环境改善</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p>
        </w:tc>
        <w:tc>
          <w:tcPr>
            <w:tcW w:w="103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设备设施正常使用年限</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5年</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1年</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3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项目效果可持续年限</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5 年</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1年</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1"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人民群众满意度</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rPr>
              <w:t>90%</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7"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auto"/>
                <w:sz w:val="20"/>
                <w:szCs w:val="20"/>
                <w:highlight w:val="none"/>
              </w:rPr>
              <w:t>　</w:t>
            </w:r>
            <w:r>
              <w:rPr>
                <w:rFonts w:hint="eastAsia" w:ascii="仿宋_GB2312" w:hAnsi="仿宋_GB2312" w:eastAsia="仿宋_GB2312" w:cs="仿宋_GB2312"/>
                <w:color w:val="auto"/>
                <w:sz w:val="20"/>
                <w:szCs w:val="20"/>
                <w:highlight w:val="none"/>
                <w:lang w:val="en-US" w:eastAsia="zh-CN"/>
              </w:rPr>
              <w:t>93.9</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widowControl/>
        <w:spacing w:line="400" w:lineRule="exact"/>
        <w:jc w:val="left"/>
        <w:rPr>
          <w:rFonts w:hint="default" w:ascii="黑体" w:hAnsi="黑体" w:eastAsia="黑体" w:cs="黑体"/>
          <w:sz w:val="32"/>
          <w:szCs w:val="32"/>
          <w:lang w:val="en-US" w:eastAsia="zh-CN"/>
        </w:rPr>
      </w:pPr>
      <w:r>
        <w:rPr>
          <w:rFonts w:eastAsia="仿宋_GB2312"/>
          <w:sz w:val="22"/>
          <w:szCs w:val="22"/>
        </w:rPr>
        <w:t xml:space="preserve">填表人：       </w:t>
      </w:r>
      <w:r>
        <w:rPr>
          <w:rFonts w:hint="eastAsia" w:eastAsia="仿宋_GB2312"/>
          <w:sz w:val="22"/>
          <w:szCs w:val="22"/>
        </w:rPr>
        <w:t xml:space="preserve"> </w:t>
      </w:r>
      <w:r>
        <w:rPr>
          <w:rFonts w:eastAsia="仿宋_GB2312"/>
          <w:sz w:val="22"/>
          <w:szCs w:val="22"/>
        </w:rPr>
        <w:t xml:space="preserve">填报日期：     </w:t>
      </w:r>
      <w:r>
        <w:rPr>
          <w:rFonts w:hint="eastAsia" w:eastAsia="仿宋_GB2312"/>
          <w:sz w:val="22"/>
          <w:szCs w:val="22"/>
        </w:rPr>
        <w:t xml:space="preserve">      </w:t>
      </w:r>
      <w:r>
        <w:rPr>
          <w:rFonts w:eastAsia="仿宋_GB2312"/>
          <w:sz w:val="22"/>
          <w:szCs w:val="22"/>
        </w:rPr>
        <w:t xml:space="preserve">联系电话：   </w:t>
      </w:r>
      <w:r>
        <w:rPr>
          <w:rFonts w:hint="eastAsia" w:eastAsia="仿宋_GB2312"/>
          <w:sz w:val="22"/>
          <w:szCs w:val="22"/>
        </w:rPr>
        <w:t xml:space="preserve">         </w:t>
      </w:r>
      <w:r>
        <w:rPr>
          <w:rFonts w:eastAsia="仿宋_GB2312"/>
          <w:sz w:val="22"/>
          <w:szCs w:val="22"/>
        </w:rPr>
        <w:t xml:space="preserve"> 单位负责人签字：</w:t>
      </w:r>
      <w:r>
        <w:rPr>
          <w:rFonts w:eastAsia="仿宋_GB2312"/>
          <w:sz w:val="22"/>
          <w:szCs w:val="22"/>
        </w:rPr>
        <w:br w:type="page"/>
      </w:r>
      <w:r>
        <w:rPr>
          <w:rFonts w:hint="eastAsia" w:ascii="黑体" w:hAnsi="黑体" w:eastAsia="黑体" w:cs="黑体"/>
          <w:sz w:val="32"/>
          <w:szCs w:val="32"/>
          <w:highlight w:val="none"/>
        </w:rPr>
        <w:t xml:space="preserve"> </w:t>
      </w:r>
      <w:r>
        <w:rPr>
          <w:rFonts w:hint="eastAsia" w:ascii="黑体" w:hAnsi="黑体" w:eastAsia="黑体" w:cs="黑体"/>
          <w:sz w:val="32"/>
          <w:szCs w:val="32"/>
          <w:highlight w:val="none"/>
          <w:lang w:val="en-US" w:eastAsia="zh-CN"/>
        </w:rPr>
        <w:t>表3-18</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Arial Unicode MS" w:hAnsi="Arial Unicode MS" w:eastAsia="Arial Unicode MS" w:cs="Arial Unicode MS"/>
          <w:kern w:val="0"/>
          <w:sz w:val="36"/>
          <w:szCs w:val="36"/>
        </w:rPr>
      </w:pPr>
      <w:r>
        <w:rPr>
          <w:rFonts w:hint="eastAsia" w:eastAsia="仿宋_GB2312"/>
          <w:sz w:val="22"/>
          <w:szCs w:val="22"/>
        </w:rPr>
        <w:t xml:space="preserve">     </w:t>
      </w:r>
      <w:r>
        <w:rPr>
          <w:rFonts w:hint="eastAsia" w:eastAsia="仿宋_GB2312"/>
          <w:sz w:val="22"/>
          <w:szCs w:val="22"/>
          <w:lang w:val="en-US" w:eastAsia="zh-CN"/>
        </w:rPr>
        <w:t xml:space="preserve">         </w:t>
      </w:r>
      <w:r>
        <w:rPr>
          <w:rFonts w:hint="eastAsia" w:ascii="方正小标宋简体" w:hAnsi="方正小标宋简体" w:eastAsia="方正小标宋简体" w:cs="方正小标宋简体"/>
          <w:color w:val="000000"/>
          <w:sz w:val="36"/>
          <w:szCs w:val="36"/>
          <w:highlight w:val="none"/>
          <w:lang w:val="en-US" w:eastAsia="zh-CN"/>
        </w:rPr>
        <w:t xml:space="preserve">  </w:t>
      </w:r>
      <w:r>
        <w:rPr>
          <w:rFonts w:hint="eastAsia" w:ascii="方正小标宋简体" w:hAnsi="方正小标宋简体" w:eastAsia="方正小标宋简体" w:cs="方正小标宋简体"/>
          <w:color w:val="000000"/>
          <w:sz w:val="36"/>
          <w:szCs w:val="36"/>
          <w:highlight w:val="none"/>
        </w:rPr>
        <w:t xml:space="preserve"> 2025年度项目支出绩效自评表</w:t>
      </w:r>
    </w:p>
    <w:tbl>
      <w:tblPr>
        <w:tblStyle w:val="14"/>
        <w:tblW w:w="9816" w:type="dxa"/>
        <w:jc w:val="center"/>
        <w:tblLayout w:type="fixed"/>
        <w:tblCellMar>
          <w:top w:w="0" w:type="dxa"/>
          <w:left w:w="108" w:type="dxa"/>
          <w:bottom w:w="0" w:type="dxa"/>
          <w:right w:w="108" w:type="dxa"/>
        </w:tblCellMar>
      </w:tblPr>
      <w:tblGrid>
        <w:gridCol w:w="1080"/>
        <w:gridCol w:w="1140"/>
        <w:gridCol w:w="1020"/>
        <w:gridCol w:w="1260"/>
        <w:gridCol w:w="1110"/>
        <w:gridCol w:w="1155"/>
        <w:gridCol w:w="810"/>
        <w:gridCol w:w="900"/>
        <w:gridCol w:w="1341"/>
      </w:tblGrid>
      <w:tr>
        <w:tblPrEx>
          <w:tblCellMar>
            <w:top w:w="0" w:type="dxa"/>
            <w:left w:w="108" w:type="dxa"/>
            <w:bottom w:w="0" w:type="dxa"/>
            <w:right w:w="108" w:type="dxa"/>
          </w:tblCellMar>
        </w:tblPrEx>
        <w:trPr>
          <w:trHeight w:val="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36" w:type="dxa"/>
            <w:gridSpan w:val="8"/>
            <w:tcBorders>
              <w:top w:val="single" w:color="auto" w:sz="4" w:space="0"/>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eastAsia="仿宋_GB2312"/>
                <w:sz w:val="22"/>
                <w:szCs w:val="22"/>
              </w:rPr>
              <w:t>岳阳市保交楼（恒大）配套道路及管网建设项目</w:t>
            </w:r>
            <w:r>
              <w:rPr>
                <w:rFonts w:hint="eastAsia" w:ascii="仿宋_GB2312" w:hAnsi="仿宋_GB2312" w:eastAsia="仿宋_GB2312" w:cs="仿宋_GB2312"/>
                <w:kern w:val="0"/>
                <w:sz w:val="15"/>
                <w:szCs w:val="15"/>
              </w:rPr>
              <w:t>　</w:t>
            </w:r>
          </w:p>
        </w:tc>
      </w:tr>
      <w:tr>
        <w:tblPrEx>
          <w:tblCellMar>
            <w:top w:w="0" w:type="dxa"/>
            <w:left w:w="108" w:type="dxa"/>
            <w:bottom w:w="0" w:type="dxa"/>
            <w:right w:w="108" w:type="dxa"/>
          </w:tblCellMar>
        </w:tblPrEx>
        <w:trPr>
          <w:trHeight w:val="0" w:hRule="atLeast"/>
          <w:jc w:val="center"/>
        </w:trPr>
        <w:tc>
          <w:tcPr>
            <w:tcW w:w="1080" w:type="dxa"/>
            <w:tcBorders>
              <w:top w:val="nil"/>
              <w:left w:val="single" w:color="auto" w:sz="4" w:space="0"/>
              <w:bottom w:val="single" w:color="auto" w:sz="4" w:space="0"/>
              <w:right w:val="single" w:color="auto" w:sz="4" w:space="0"/>
            </w:tcBorders>
            <w:noWrap w:val="0"/>
            <w:vAlign w:val="center"/>
          </w:tcPr>
          <w:p>
            <w:pPr>
              <w:widowControl/>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w:t>
            </w:r>
            <w:r>
              <w:rPr>
                <w:rFonts w:hint="eastAsia" w:ascii="仿宋_GB2312" w:hAnsi="仿宋_GB2312" w:eastAsia="仿宋_GB2312" w:cs="仿宋_GB2312"/>
                <w:color w:val="000000"/>
                <w:sz w:val="20"/>
                <w:szCs w:val="20"/>
                <w:lang w:eastAsia="zh-CN"/>
              </w:rPr>
              <w:t>部</w:t>
            </w:r>
            <w:r>
              <w:rPr>
                <w:rFonts w:hint="eastAsia" w:ascii="仿宋_GB2312" w:hAnsi="仿宋_GB2312" w:eastAsia="仿宋_GB2312" w:cs="仿宋_GB2312"/>
                <w:color w:val="000000"/>
                <w:sz w:val="20"/>
                <w:szCs w:val="20"/>
              </w:rPr>
              <w:t>门</w:t>
            </w:r>
          </w:p>
        </w:tc>
        <w:tc>
          <w:tcPr>
            <w:tcW w:w="4530" w:type="dxa"/>
            <w:gridSpan w:val="4"/>
            <w:tcBorders>
              <w:top w:val="single" w:color="auto" w:sz="4" w:space="0"/>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岳阳市住房和城乡建设局</w:t>
            </w:r>
          </w:p>
        </w:tc>
        <w:tc>
          <w:tcPr>
            <w:tcW w:w="1155" w:type="dxa"/>
            <w:tcBorders>
              <w:top w:val="single" w:color="auto" w:sz="4" w:space="0"/>
              <w:left w:val="nil"/>
              <w:bottom w:val="single" w:color="auto"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实施单位</w:t>
            </w:r>
          </w:p>
        </w:tc>
        <w:tc>
          <w:tcPr>
            <w:tcW w:w="3051" w:type="dxa"/>
            <w:gridSpan w:val="3"/>
            <w:tcBorders>
              <w:top w:val="single" w:color="auto" w:sz="4" w:space="0"/>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trHeight w:val="0" w:hRule="atLeast"/>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项目资金</w:t>
            </w:r>
            <w:r>
              <w:rPr>
                <w:rFonts w:hint="eastAsia" w:ascii="仿宋_GB2312" w:hAnsi="仿宋_GB2312" w:eastAsia="仿宋_GB2312" w:cs="仿宋_GB2312"/>
                <w:kern w:val="0"/>
                <w:sz w:val="20"/>
                <w:szCs w:val="20"/>
              </w:rPr>
              <w:br w:type="textWrapping"/>
            </w:r>
            <w:r>
              <w:rPr>
                <w:rFonts w:hint="eastAsia" w:ascii="仿宋_GB2312" w:hAnsi="仿宋_GB2312" w:eastAsia="仿宋_GB2312" w:cs="仿宋_GB2312"/>
                <w:kern w:val="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126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年初</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预算数</w:t>
            </w:r>
          </w:p>
        </w:tc>
        <w:tc>
          <w:tcPr>
            <w:tcW w:w="111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全年</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预算数</w:t>
            </w:r>
          </w:p>
        </w:tc>
        <w:tc>
          <w:tcPr>
            <w:tcW w:w="1155" w:type="dxa"/>
            <w:tcBorders>
              <w:top w:val="nil"/>
              <w:left w:val="nil"/>
              <w:bottom w:val="single" w:color="auto" w:sz="4" w:space="0"/>
              <w:right w:val="single" w:color="auto"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全年</w:t>
            </w:r>
          </w:p>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执行数</w:t>
            </w:r>
          </w:p>
        </w:tc>
        <w:tc>
          <w:tcPr>
            <w:tcW w:w="810" w:type="dxa"/>
            <w:tcBorders>
              <w:top w:val="nil"/>
              <w:left w:val="nil"/>
              <w:bottom w:val="single" w:color="auto" w:sz="4" w:space="0"/>
              <w:right w:val="single" w:color="auto"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分值</w:t>
            </w:r>
          </w:p>
        </w:tc>
        <w:tc>
          <w:tcPr>
            <w:tcW w:w="900" w:type="dxa"/>
            <w:tcBorders>
              <w:top w:val="nil"/>
              <w:left w:val="nil"/>
              <w:bottom w:val="single" w:color="auto" w:sz="4" w:space="0"/>
              <w:right w:val="single" w:color="auto"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执行率</w:t>
            </w:r>
          </w:p>
        </w:tc>
        <w:tc>
          <w:tcPr>
            <w:tcW w:w="1341" w:type="dxa"/>
            <w:tcBorders>
              <w:top w:val="nil"/>
              <w:left w:val="nil"/>
              <w:bottom w:val="single" w:color="auto" w:sz="4" w:space="0"/>
              <w:right w:val="single" w:color="auto"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得分</w:t>
            </w:r>
          </w:p>
        </w:tc>
      </w:tr>
      <w:tr>
        <w:tblPrEx>
          <w:tblCellMar>
            <w:top w:w="0" w:type="dxa"/>
            <w:left w:w="108" w:type="dxa"/>
            <w:bottom w:w="0" w:type="dxa"/>
            <w:right w:w="108" w:type="dxa"/>
          </w:tblCellMar>
        </w:tblPrEx>
        <w:trPr>
          <w:trHeight w:val="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年度资金总额　</w:t>
            </w:r>
          </w:p>
        </w:tc>
        <w:tc>
          <w:tcPr>
            <w:tcW w:w="126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11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5151.84</w:t>
            </w:r>
          </w:p>
        </w:tc>
        <w:tc>
          <w:tcPr>
            <w:tcW w:w="1155"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2470.57</w:t>
            </w:r>
          </w:p>
        </w:tc>
        <w:tc>
          <w:tcPr>
            <w:tcW w:w="81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w:t>
            </w:r>
          </w:p>
        </w:tc>
        <w:tc>
          <w:tcPr>
            <w:tcW w:w="90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48%</w:t>
            </w:r>
          </w:p>
        </w:tc>
        <w:tc>
          <w:tcPr>
            <w:tcW w:w="1341"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4.8</w:t>
            </w:r>
          </w:p>
        </w:tc>
      </w:tr>
      <w:tr>
        <w:tblPrEx>
          <w:tblCellMar>
            <w:top w:w="0" w:type="dxa"/>
            <w:left w:w="108" w:type="dxa"/>
            <w:bottom w:w="0" w:type="dxa"/>
            <w:right w:w="108" w:type="dxa"/>
          </w:tblCellMar>
        </w:tblPrEx>
        <w:trPr>
          <w:trHeight w:val="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其中：当年财政拨款　</w:t>
            </w:r>
          </w:p>
        </w:tc>
        <w:tc>
          <w:tcPr>
            <w:tcW w:w="126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11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5151.84</w:t>
            </w:r>
          </w:p>
        </w:tc>
        <w:tc>
          <w:tcPr>
            <w:tcW w:w="1155"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2470.57</w:t>
            </w:r>
          </w:p>
        </w:tc>
        <w:tc>
          <w:tcPr>
            <w:tcW w:w="810"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900"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1341"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tr>
        <w:tblPrEx>
          <w:tblCellMar>
            <w:top w:w="0" w:type="dxa"/>
            <w:left w:w="108" w:type="dxa"/>
            <w:bottom w:w="0" w:type="dxa"/>
            <w:right w:w="108" w:type="dxa"/>
          </w:tblCellMar>
        </w:tblPrEx>
        <w:trPr>
          <w:trHeight w:val="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上年结转资金　</w:t>
            </w:r>
          </w:p>
        </w:tc>
        <w:tc>
          <w:tcPr>
            <w:tcW w:w="126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11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155"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810"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900"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1341"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tr>
        <w:tblPrEx>
          <w:tblCellMar>
            <w:top w:w="0" w:type="dxa"/>
            <w:left w:w="108" w:type="dxa"/>
            <w:bottom w:w="0" w:type="dxa"/>
            <w:right w:w="108" w:type="dxa"/>
          </w:tblCellMar>
        </w:tblPrEx>
        <w:trPr>
          <w:trHeight w:val="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2160" w:type="dxa"/>
            <w:gridSpan w:val="2"/>
            <w:tcBorders>
              <w:top w:val="nil"/>
              <w:left w:val="nil"/>
              <w:bottom w:val="single" w:color="auto" w:sz="4" w:space="0"/>
              <w:right w:val="single" w:color="auto" w:sz="4" w:space="0"/>
            </w:tcBorders>
            <w:noWrap w:val="0"/>
            <w:vAlign w:val="center"/>
          </w:tcPr>
          <w:p>
            <w:pPr>
              <w:widowControl/>
              <w:snapToGrid w:val="0"/>
              <w:spacing w:line="260" w:lineRule="exact"/>
              <w:ind w:firstLine="600" w:firstLineChars="300"/>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其他资金</w:t>
            </w:r>
          </w:p>
        </w:tc>
        <w:tc>
          <w:tcPr>
            <w:tcW w:w="126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110"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1155" w:type="dxa"/>
            <w:tcBorders>
              <w:top w:val="nil"/>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0</w:t>
            </w:r>
          </w:p>
        </w:tc>
        <w:tc>
          <w:tcPr>
            <w:tcW w:w="810"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900"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1341" w:type="dxa"/>
            <w:tcBorders>
              <w:top w:val="nil"/>
              <w:left w:val="nil"/>
              <w:bottom w:val="single" w:color="auto"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tr>
        <w:tblPrEx>
          <w:tblCellMar>
            <w:top w:w="0" w:type="dxa"/>
            <w:left w:w="108" w:type="dxa"/>
            <w:bottom w:w="0" w:type="dxa"/>
            <w:right w:w="108" w:type="dxa"/>
          </w:tblCellMar>
        </w:tblPrEx>
        <w:trPr>
          <w:trHeight w:val="0" w:hRule="atLeast"/>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年度总体目标</w:t>
            </w:r>
          </w:p>
        </w:tc>
        <w:tc>
          <w:tcPr>
            <w:tcW w:w="4530" w:type="dxa"/>
            <w:gridSpan w:val="4"/>
            <w:tcBorders>
              <w:top w:val="single" w:color="auto" w:sz="4" w:space="0"/>
              <w:left w:val="nil"/>
              <w:bottom w:val="single" w:color="auto"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预期目标</w:t>
            </w:r>
          </w:p>
        </w:tc>
        <w:tc>
          <w:tcPr>
            <w:tcW w:w="4206" w:type="dxa"/>
            <w:gridSpan w:val="4"/>
            <w:tcBorders>
              <w:top w:val="single" w:color="auto" w:sz="4" w:space="0"/>
              <w:left w:val="nil"/>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实际完成情况　</w:t>
            </w:r>
          </w:p>
        </w:tc>
      </w:tr>
      <w:tr>
        <w:tblPrEx>
          <w:tblCellMar>
            <w:top w:w="0" w:type="dxa"/>
            <w:left w:w="108" w:type="dxa"/>
            <w:bottom w:w="0" w:type="dxa"/>
            <w:right w:w="108" w:type="dxa"/>
          </w:tblCellMar>
        </w:tblPrEx>
        <w:trPr>
          <w:trHeight w:val="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4530" w:type="dxa"/>
            <w:gridSpan w:val="4"/>
            <w:tcBorders>
              <w:top w:val="single" w:color="auto" w:sz="4" w:space="0"/>
              <w:left w:val="nil"/>
              <w:bottom w:val="single" w:color="000000" w:sz="4" w:space="0"/>
              <w:right w:val="single" w:color="000000" w:sz="4" w:space="0"/>
            </w:tcBorders>
            <w:noWrap w:val="0"/>
            <w:vAlign w:val="center"/>
          </w:tcPr>
          <w:p>
            <w:pPr>
              <w:snapToGrid w:val="0"/>
              <w:spacing w:line="300" w:lineRule="exact"/>
              <w:ind w:firstLine="400" w:firstLineChars="200"/>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计划完成6条道路建设，即：恒大未来城片区的梅溪路（长363m、宽35m）、牛郎嘴路（长242m、宽20m）、监申桥路（长212m、宽25m）和恒大华府片区的长动路（长472m、宽25m）、洞坡冲路（长338m、宽15m）、刘家山路（长360m、宽25m）等六条道路（其中梅溪路为城市次干路，其余为城市支路），总长度1986.943米。建设内容为道路工程、交通工程、给排水工程（雨水、污水、给水）电气工程（照明、强电土建、弱电土建）、绿化工程和燃气工程等。</w:t>
            </w:r>
          </w:p>
        </w:tc>
        <w:tc>
          <w:tcPr>
            <w:tcW w:w="4206" w:type="dxa"/>
            <w:gridSpan w:val="4"/>
            <w:tcBorders>
              <w:top w:val="single" w:color="auto" w:sz="4" w:space="0"/>
              <w:left w:val="nil"/>
              <w:bottom w:val="single" w:color="000000" w:sz="4" w:space="0"/>
              <w:right w:val="single" w:color="auto" w:sz="4" w:space="0"/>
            </w:tcBorders>
            <w:noWrap w:val="0"/>
            <w:vAlign w:val="center"/>
          </w:tcPr>
          <w:p>
            <w:pPr>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1</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梅溪路、监申桥路、长动路、洞坡冲路已完成主要建设内容，通过工程预验收，开放交通；</w:t>
            </w:r>
          </w:p>
          <w:p>
            <w:pPr>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2</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牛郎嘴路已完成主要建设内容，待周边恒大深基坑安全围挡等防护措施到位后，通过工程预验收，开放交通；</w:t>
            </w:r>
          </w:p>
          <w:p>
            <w:pPr>
              <w:snapToGrid w:val="0"/>
              <w:spacing w:line="300" w:lineRule="exact"/>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3</w:t>
            </w:r>
            <w:r>
              <w:rPr>
                <w:rFonts w:hint="eastAsia" w:ascii="仿宋_GB2312" w:hAnsi="仿宋_GB2312" w:eastAsia="仿宋_GB2312" w:cs="仿宋_GB2312"/>
                <w:kern w:val="0"/>
                <w:sz w:val="20"/>
                <w:szCs w:val="20"/>
              </w:rPr>
              <w:t>）</w:t>
            </w:r>
            <w:r>
              <w:rPr>
                <w:rFonts w:ascii="仿宋_GB2312" w:hAnsi="仿宋_GB2312" w:eastAsia="仿宋_GB2312" w:cs="仿宋_GB2312"/>
                <w:kern w:val="0"/>
                <w:sz w:val="20"/>
                <w:szCs w:val="20"/>
              </w:rPr>
              <w:t>刘家山路正在建设，已完成路基土石方约2万m3。</w:t>
            </w:r>
          </w:p>
          <w:p>
            <w:pPr>
              <w:widowControl/>
              <w:snapToGrid w:val="0"/>
              <w:spacing w:line="260" w:lineRule="exact"/>
              <w:jc w:val="left"/>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160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bookmarkStart w:id="4" w:name="OLE_LINK1" w:colFirst="1" w:colLast="3"/>
            <w:r>
              <w:rPr>
                <w:rFonts w:hint="eastAsia" w:ascii="仿宋_GB2312" w:hAnsi="仿宋_GB2312" w:eastAsia="仿宋_GB2312" w:cs="仿宋_GB2312"/>
                <w:kern w:val="0"/>
                <w:sz w:val="20"/>
                <w:szCs w:val="20"/>
              </w:rPr>
              <w:t>绩</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效</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指</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标</w:t>
            </w:r>
          </w:p>
        </w:tc>
        <w:tc>
          <w:tcPr>
            <w:tcW w:w="1140" w:type="dxa"/>
            <w:tcBorders>
              <w:top w:val="single" w:color="000000" w:sz="4" w:space="0"/>
              <w:left w:val="single" w:color="000000" w:sz="4" w:space="0"/>
              <w:bottom w:val="single" w:color="auto"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一级指标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二级指标</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三级指标</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年度</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指标值</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实际</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分值</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得分</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trHeight w:val="1287"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产出指标</w:t>
            </w:r>
          </w:p>
          <w:p>
            <w:pPr>
              <w:widowControl/>
              <w:snapToGrid w:val="0"/>
              <w:spacing w:line="260" w:lineRule="exact"/>
              <w:jc w:val="center"/>
              <w:rPr>
                <w:rFonts w:hint="eastAsia" w:ascii="仿宋_GB2312" w:hAnsi="仿宋_GB2312" w:eastAsia="仿宋_GB2312" w:cs="仿宋_GB2312"/>
                <w:kern w:val="0"/>
                <w:sz w:val="20"/>
                <w:szCs w:val="20"/>
              </w:rPr>
            </w:pP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(48分)</w:t>
            </w:r>
          </w:p>
        </w:tc>
        <w:tc>
          <w:tcPr>
            <w:tcW w:w="1020" w:type="dxa"/>
            <w:vMerge w:val="restart"/>
            <w:tcBorders>
              <w:top w:val="single" w:color="000000" w:sz="4" w:space="0"/>
              <w:left w:val="single" w:color="auto" w:sz="4" w:space="0"/>
              <w:bottom w:val="single" w:color="000000" w:sz="4" w:space="0"/>
              <w:right w:val="single" w:color="000000" w:sz="4" w:space="0"/>
            </w:tcBorders>
            <w:noWrap w:val="0"/>
            <w:vAlign w:val="center"/>
          </w:tcPr>
          <w:p>
            <w:pPr>
              <w:widowControl/>
              <w:snapToGrid w:val="0"/>
              <w:spacing w:line="26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rPr>
              <w:t>数量指标（12分）</w:t>
            </w:r>
            <w:r>
              <w:rPr>
                <w:rFonts w:hint="eastAsia" w:ascii="仿宋_GB2312" w:hAnsi="仿宋_GB2312" w:eastAsia="仿宋_GB2312" w:cs="仿宋_GB2312"/>
                <w:kern w:val="0"/>
                <w:sz w:val="20"/>
                <w:szCs w:val="20"/>
                <w:lang w:val="en-US" w:eastAsia="zh-CN"/>
              </w:rPr>
              <w:t xml:space="preserve">       </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梅溪路（中门路-金凤桥路）</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道路建设面积目标</w:t>
            </w:r>
            <w:r>
              <w:rPr>
                <w:rFonts w:ascii="仿宋_GB2312" w:hAnsi="宋体" w:eastAsia="仿宋_GB2312" w:cs="仿宋_GB2312"/>
                <w:kern w:val="0"/>
                <w:sz w:val="20"/>
                <w:szCs w:val="20"/>
                <w:lang w:bidi="ar"/>
              </w:rPr>
              <w:t>12705平方米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道路建设实际完成11688.60平方米</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仿宋_GB2312" w:eastAsia="仿宋_GB2312" w:cs="仿宋_GB2312"/>
                <w:kern w:val="0"/>
                <w:sz w:val="20"/>
                <w:szCs w:val="20"/>
                <w:lang w:eastAsia="zh-CN"/>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1362"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洞坡冲路（长动路-虎形山路）</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道路建设面积目标5070</w:t>
            </w:r>
            <w:r>
              <w:rPr>
                <w:rFonts w:ascii="仿宋_GB2312" w:hAnsi="宋体" w:eastAsia="仿宋_GB2312" w:cs="仿宋_GB2312"/>
                <w:kern w:val="0"/>
                <w:sz w:val="20"/>
                <w:szCs w:val="20"/>
                <w:lang w:bidi="ar"/>
              </w:rPr>
              <w:t>平方米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道路建设实际完成5070平方米</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1207"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监申桥路（中门路-金凤桥路）</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道路建设面积目标5300</w:t>
            </w:r>
            <w:r>
              <w:rPr>
                <w:rFonts w:ascii="仿宋_GB2312" w:hAnsi="宋体" w:eastAsia="仿宋_GB2312" w:cs="仿宋_GB2312"/>
                <w:kern w:val="0"/>
                <w:sz w:val="20"/>
                <w:szCs w:val="20"/>
                <w:lang w:bidi="ar"/>
              </w:rPr>
              <w:t>平方米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变更为临时道路，已经完工</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1552"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长动路（刘家山路-雷锋山路）</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道路建设面积目标11800</w:t>
            </w:r>
            <w:r>
              <w:rPr>
                <w:rFonts w:ascii="仿宋_GB2312" w:hAnsi="宋体" w:eastAsia="仿宋_GB2312" w:cs="仿宋_GB2312"/>
                <w:kern w:val="0"/>
                <w:sz w:val="20"/>
                <w:szCs w:val="20"/>
                <w:lang w:bidi="ar"/>
              </w:rPr>
              <w:t>平方米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道路建设实际完成11210平方米</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仿宋_GB2312" w:eastAsia="仿宋_GB2312" w:cs="仿宋_GB2312"/>
                <w:kern w:val="0"/>
                <w:sz w:val="20"/>
                <w:szCs w:val="20"/>
                <w:lang w:eastAsia="zh-CN"/>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牛郎嘴路（中门路-金凤桥路）</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道路建设面积目标4840</w:t>
            </w:r>
            <w:r>
              <w:rPr>
                <w:rFonts w:ascii="仿宋_GB2312" w:hAnsi="宋体" w:eastAsia="仿宋_GB2312" w:cs="仿宋_GB2312"/>
                <w:kern w:val="0"/>
                <w:sz w:val="20"/>
                <w:szCs w:val="20"/>
                <w:lang w:bidi="ar"/>
              </w:rPr>
              <w:t>平方米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道路建设实际完成3,581.60平方米</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仿宋_GB2312" w:eastAsia="仿宋_GB2312" w:cs="仿宋_GB2312"/>
                <w:kern w:val="0"/>
                <w:sz w:val="20"/>
                <w:szCs w:val="20"/>
                <w:lang w:eastAsia="zh-CN"/>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left"/>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502"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restart"/>
            <w:tcBorders>
              <w:top w:val="single" w:color="auto" w:sz="4" w:space="0"/>
              <w:left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产出指标</w:t>
            </w:r>
          </w:p>
          <w:p>
            <w:pPr>
              <w:snapToGrid w:val="0"/>
              <w:spacing w:line="260" w:lineRule="exact"/>
              <w:jc w:val="center"/>
              <w:rPr>
                <w:rFonts w:hint="eastAsia" w:ascii="仿宋_GB2312" w:hAnsi="仿宋_GB2312" w:eastAsia="仿宋_GB2312" w:cs="仿宋_GB2312"/>
                <w:kern w:val="0"/>
                <w:sz w:val="20"/>
                <w:szCs w:val="20"/>
              </w:rPr>
            </w:pPr>
          </w:p>
          <w:p>
            <w:pPr>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(48分)</w:t>
            </w: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刘家山路（长动路-虎形山路）</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道路建设面积目标9000</w:t>
            </w:r>
            <w:r>
              <w:rPr>
                <w:rFonts w:ascii="仿宋_GB2312" w:hAnsi="宋体" w:eastAsia="仿宋_GB2312" w:cs="仿宋_GB2312"/>
                <w:kern w:val="0"/>
                <w:sz w:val="20"/>
                <w:szCs w:val="20"/>
                <w:lang w:bidi="ar"/>
              </w:rPr>
              <w:t>平方米</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道路建设实际完成4500平方米</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仿宋_GB2312" w:eastAsia="仿宋_GB2312" w:cs="仿宋_GB2312"/>
                <w:kern w:val="0"/>
                <w:sz w:val="20"/>
                <w:szCs w:val="20"/>
                <w:lang w:eastAsia="zh-CN"/>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539"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质量指标（15分）</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项目合格率</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200" w:firstLineChars="100"/>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9</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693"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仿宋_GB2312" w:eastAsia="仿宋_GB2312" w:cs="仿宋_GB2312"/>
                <w:kern w:val="0"/>
                <w:sz w:val="20"/>
                <w:szCs w:val="20"/>
              </w:rPr>
              <w:t>项目程序的合规性</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200" w:firstLineChars="100"/>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6</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6</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时效指标（12分）</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梅溪路（中门路-金凤桥路）项目进度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xml:space="preserve">   93.5%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牛郎嘴路（中门路-金凤桥路）项目</w:t>
            </w:r>
            <w:r>
              <w:rPr>
                <w:rStyle w:val="20"/>
                <w:rFonts w:hAnsi="宋体"/>
                <w:color w:val="auto"/>
                <w:lang w:bidi="ar"/>
              </w:rPr>
              <w:t>进度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74%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监申桥路（中门路-金凤桥路）进度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16%</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长动路（刘家山路-雷锋山路）项目进度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94%</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洞坡冲路（长动路-虎形山路）项目进度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100&amp;</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auto" w:sz="4" w:space="0"/>
              <w:bottom w:val="single" w:color="000000" w:sz="4" w:space="0"/>
              <w:right w:val="single" w:color="000000" w:sz="4" w:space="0"/>
            </w:tcBorders>
            <w:noWrap w:val="0"/>
            <w:vAlign w:val="center"/>
          </w:tcPr>
          <w:p>
            <w:pPr>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刘家山路（长动路-虎形山路）</w:t>
            </w:r>
            <w:r>
              <w:rPr>
                <w:rStyle w:val="20"/>
                <w:rFonts w:hAnsi="宋体"/>
                <w:color w:val="auto"/>
                <w:lang w:bidi="ar"/>
              </w:rPr>
              <w:t>项目进度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eastAsia="zh-CN" w:bidi="ar"/>
              </w:rPr>
            </w:pPr>
            <w:r>
              <w:rPr>
                <w:rFonts w:hint="eastAsia" w:ascii="仿宋_GB2312" w:hAnsi="宋体" w:eastAsia="仿宋_GB2312" w:cs="仿宋_GB2312"/>
                <w:kern w:val="0"/>
                <w:sz w:val="20"/>
                <w:szCs w:val="20"/>
                <w:lang w:val="en-US" w:eastAsia="zh-CN" w:bidi="ar"/>
              </w:rPr>
              <w:t>2</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000000" w:sz="4" w:space="0"/>
              <w:left w:val="single" w:color="000000" w:sz="4" w:space="0"/>
              <w:bottom w:val="single" w:color="000000" w:sz="4" w:space="0"/>
              <w:right w:val="single" w:color="auto"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restart"/>
            <w:tcBorders>
              <w:top w:val="single" w:color="000000" w:sz="4" w:space="0"/>
              <w:left w:val="single" w:color="auto"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成本指标（9分）</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社会经济成本控制率</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5</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9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生态环境成本控制率</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1552"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p>
            <w:pPr>
              <w:widowControl/>
              <w:snapToGrid w:val="0"/>
              <w:spacing w:line="260" w:lineRule="exact"/>
              <w:jc w:val="left"/>
              <w:rPr>
                <w:rFonts w:hint="eastAsia" w:ascii="仿宋_GB2312" w:hAnsi="仿宋_GB2312" w:eastAsia="仿宋_GB2312" w:cs="仿宋_GB2312"/>
                <w:kern w:val="0"/>
                <w:sz w:val="20"/>
                <w:szCs w:val="20"/>
              </w:rPr>
            </w:pPr>
          </w:p>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效益指标（32分）</w:t>
            </w:r>
          </w:p>
          <w:p>
            <w:pPr>
              <w:widowControl/>
              <w:snapToGrid w:val="0"/>
              <w:spacing w:line="260" w:lineRule="exact"/>
              <w:jc w:val="left"/>
              <w:rPr>
                <w:rFonts w:hint="eastAsia" w:ascii="仿宋_GB2312" w:hAnsi="仿宋_GB2312" w:eastAsia="仿宋_GB2312" w:cs="仿宋_GB2312"/>
                <w:kern w:val="0"/>
                <w:sz w:val="20"/>
                <w:szCs w:val="20"/>
              </w:rPr>
            </w:pPr>
          </w:p>
          <w:p>
            <w:pPr>
              <w:widowControl/>
              <w:snapToGrid w:val="0"/>
              <w:spacing w:line="260" w:lineRule="exact"/>
              <w:jc w:val="left"/>
              <w:rPr>
                <w:rFonts w:hint="eastAsia" w:ascii="仿宋_GB2312" w:hAnsi="仿宋_GB2312" w:eastAsia="仿宋_GB2312" w:cs="仿宋_GB2312"/>
                <w:kern w:val="0"/>
                <w:sz w:val="20"/>
                <w:szCs w:val="20"/>
              </w:rPr>
            </w:pPr>
          </w:p>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经济效</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益指标</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带动区域消费升级和经济增长</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hint="eastAsia" w:ascii="仿宋_GB2312" w:hAnsi="宋体" w:eastAsia="仿宋_GB2312" w:cs="仿宋_GB2312"/>
                <w:kern w:val="0"/>
                <w:sz w:val="20"/>
                <w:szCs w:val="20"/>
                <w:lang w:bidi="ar"/>
              </w:rPr>
              <w:t>100</w:t>
            </w:r>
            <w:r>
              <w:rPr>
                <w:rFonts w:ascii="仿宋_GB2312" w:hAnsi="宋体" w:eastAsia="仿宋_GB2312" w:cs="仿宋_GB2312"/>
                <w:kern w:val="0"/>
                <w:sz w:val="20"/>
                <w:szCs w:val="20"/>
                <w:lang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8</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861"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社会效</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益指标</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社会稳定</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jc w:val="center"/>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599"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民生保障</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jc w:val="center"/>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生态效</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益指标</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优化路网结构</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jc w:val="center"/>
              <w:textAlignment w:val="center"/>
              <w:rPr>
                <w:rFonts w:hint="eastAsia"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Style w:val="17"/>
                <w:rFonts w:ascii="system-ui" w:hAnsi="system-ui" w:eastAsia="system-ui" w:cs="system-ui"/>
                <w:bCs/>
                <w:sz w:val="20"/>
                <w:szCs w:val="20"/>
                <w:shd w:val="clear" w:color="auto" w:fill="FFFFFF"/>
              </w:rPr>
            </w:pPr>
            <w:r>
              <w:rPr>
                <w:rFonts w:ascii="仿宋_GB2312" w:hAnsi="宋体" w:eastAsia="仿宋_GB2312" w:cs="仿宋_GB2312"/>
                <w:kern w:val="0"/>
                <w:sz w:val="20"/>
                <w:szCs w:val="20"/>
                <w:lang w:bidi="ar"/>
              </w:rPr>
              <w:t>提升土地利用效率，减少生态破坏</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可持续影响指标</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保障了居民的基本生活需求</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jc w:val="center"/>
              <w:textAlignment w:val="center"/>
              <w:rPr>
                <w:rFonts w:hint="eastAsia"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eastAsia"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22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p>
        </w:tc>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促进区域经济发展</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ind w:firstLine="200" w:firstLineChars="100"/>
              <w:jc w:val="center"/>
              <w:textAlignment w:val="center"/>
              <w:rPr>
                <w:rFonts w:hint="eastAsia"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ascii="仿宋_GB2312" w:hAnsi="宋体" w:eastAsia="仿宋_GB2312" w:cs="仿宋_GB2312"/>
                <w:kern w:val="0"/>
                <w:sz w:val="20"/>
                <w:szCs w:val="20"/>
                <w:lang w:bidi="ar"/>
              </w:rPr>
            </w:pPr>
            <w:r>
              <w:rPr>
                <w:rFonts w:hint="eastAsia" w:ascii="仿宋_GB2312" w:hAnsi="宋体" w:eastAsia="仿宋_GB2312" w:cs="仿宋_GB2312"/>
                <w:kern w:val="0"/>
                <w:sz w:val="20"/>
                <w:szCs w:val="20"/>
                <w:lang w:bidi="ar"/>
              </w:rPr>
              <w:t>4</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snapToGrid w:val="0"/>
              <w:jc w:val="left"/>
              <w:rPr>
                <w:rFonts w:ascii="仿宋_GB2312" w:hAnsi="仿宋_GB2312" w:eastAsia="仿宋_GB2312" w:cs="仿宋_GB2312"/>
                <w:kern w:val="0"/>
                <w:sz w:val="20"/>
                <w:szCs w:val="20"/>
              </w:rPr>
            </w:pPr>
          </w:p>
        </w:tc>
      </w:tr>
      <w:tr>
        <w:tblPrEx>
          <w:tblCellMar>
            <w:top w:w="0" w:type="dxa"/>
            <w:left w:w="108" w:type="dxa"/>
            <w:bottom w:w="0" w:type="dxa"/>
            <w:right w:w="108" w:type="dxa"/>
          </w:tblCellMar>
        </w:tblPrEx>
        <w:trPr>
          <w:trHeight w:val="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noWrap w:val="0"/>
            <w:vAlign w:val="center"/>
          </w:tcPr>
          <w:p>
            <w:pPr>
              <w:snapToGrid w:val="0"/>
              <w:spacing w:line="260" w:lineRule="exact"/>
              <w:jc w:val="left"/>
              <w:rPr>
                <w:rFonts w:hint="eastAsia" w:ascii="仿宋_GB2312" w:hAnsi="仿宋_GB2312" w:eastAsia="仿宋_GB2312" w:cs="仿宋_GB2312"/>
                <w:kern w:val="0"/>
                <w:sz w:val="20"/>
                <w:szCs w:val="20"/>
              </w:rPr>
            </w:pP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指标</w:t>
            </w:r>
          </w:p>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服务对象满意度指标</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jc w:val="left"/>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人民群众满意度</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hint="eastAsia" w:ascii="仿宋_GB2312" w:hAnsi="仿宋_GB2312" w:eastAsia="仿宋_GB2312" w:cs="仿宋_GB2312"/>
                <w:kern w:val="0"/>
                <w:sz w:val="20"/>
                <w:szCs w:val="20"/>
              </w:rPr>
            </w:pPr>
            <w:r>
              <w:rPr>
                <w:rFonts w:ascii="仿宋_GB2312" w:hAnsi="宋体" w:eastAsia="仿宋_GB2312" w:cs="仿宋_GB2312"/>
                <w:kern w:val="0"/>
                <w:sz w:val="20"/>
                <w:szCs w:val="20"/>
                <w:lang w:bidi="ar"/>
              </w:rPr>
              <w:t>100%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ind w:firstLine="400" w:firstLineChars="200"/>
              <w:jc w:val="center"/>
              <w:textAlignment w:val="center"/>
              <w:rPr>
                <w:rFonts w:ascii="仿宋_GB2312" w:hAnsi="仿宋_GB2312" w:eastAsia="仿宋_GB2312" w:cs="仿宋_GB2312"/>
                <w:kern w:val="0"/>
                <w:sz w:val="20"/>
                <w:szCs w:val="20"/>
              </w:rPr>
            </w:pPr>
            <w:r>
              <w:rPr>
                <w:rFonts w:ascii="仿宋_GB2312" w:hAnsi="宋体" w:eastAsia="仿宋_GB2312" w:cs="仿宋_GB2312"/>
                <w:kern w:val="0"/>
                <w:sz w:val="20"/>
                <w:szCs w:val="20"/>
                <w:lang w:bidi="ar"/>
              </w:rPr>
              <w:t>98%</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widowControl/>
              <w:tabs>
                <w:tab w:val="left" w:pos="280"/>
              </w:tabs>
              <w:snapToGrid w:val="0"/>
              <w:jc w:val="center"/>
              <w:textAlignment w:val="center"/>
              <w:rPr>
                <w:rFonts w:ascii="仿宋_GB2312" w:hAnsi="宋体" w:eastAsia="仿宋_GB2312" w:cs="仿宋_GB2312"/>
                <w:kern w:val="0"/>
                <w:sz w:val="20"/>
                <w:szCs w:val="20"/>
                <w:lang w:bidi="ar"/>
              </w:rPr>
            </w:pPr>
            <w:r>
              <w:rPr>
                <w:rFonts w:ascii="仿宋_GB2312" w:hAnsi="宋体" w:eastAsia="仿宋_GB2312" w:cs="仿宋_GB2312"/>
                <w:kern w:val="0"/>
                <w:sz w:val="20"/>
                <w:szCs w:val="20"/>
                <w:lang w:bidi="ar"/>
              </w:rPr>
              <w:t>10</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widowControl/>
              <w:snapToGrid w:val="0"/>
              <w:jc w:val="center"/>
              <w:textAlignment w:val="center"/>
              <w:rPr>
                <w:rFonts w:hint="default" w:ascii="仿宋_GB2312" w:hAnsi="宋体" w:eastAsia="仿宋_GB2312" w:cs="仿宋_GB2312"/>
                <w:kern w:val="0"/>
                <w:sz w:val="20"/>
                <w:szCs w:val="20"/>
                <w:lang w:val="en-US" w:eastAsia="zh-CN" w:bidi="ar"/>
              </w:rPr>
            </w:pPr>
            <w:r>
              <w:rPr>
                <w:rFonts w:hint="eastAsia" w:ascii="仿宋_GB2312" w:hAnsi="宋体" w:eastAsia="仿宋_GB2312" w:cs="仿宋_GB2312"/>
                <w:kern w:val="0"/>
                <w:sz w:val="20"/>
                <w:szCs w:val="20"/>
                <w:lang w:val="en-US" w:eastAsia="zh-CN" w:bidi="ar"/>
              </w:rPr>
              <w:t>10</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adjustRightInd w:val="0"/>
              <w:snapToGrid w:val="0"/>
              <w:jc w:val="left"/>
              <w:rPr>
                <w:rFonts w:ascii="仿宋_GB2312" w:hAnsi="仿宋_GB2312" w:eastAsia="仿宋_GB2312" w:cs="仿宋_GB2312"/>
                <w:kern w:val="0"/>
                <w:sz w:val="20"/>
                <w:szCs w:val="20"/>
              </w:rPr>
            </w:pPr>
            <w:r>
              <w:rPr>
                <w:rFonts w:hint="eastAsia" w:ascii="仿宋_GB2312" w:hAnsi="仿宋_GB2312" w:eastAsia="仿宋_GB2312" w:cs="仿宋_GB2312"/>
                <w:kern w:val="0"/>
                <w:sz w:val="18"/>
                <w:szCs w:val="18"/>
              </w:rPr>
              <w:t>。</w:t>
            </w:r>
          </w:p>
        </w:tc>
      </w:tr>
      <w:tr>
        <w:tblPrEx>
          <w:tblCellMar>
            <w:top w:w="0" w:type="dxa"/>
            <w:left w:w="108" w:type="dxa"/>
            <w:bottom w:w="0" w:type="dxa"/>
            <w:right w:w="108" w:type="dxa"/>
          </w:tblCellMar>
        </w:tblPrEx>
        <w:trPr>
          <w:trHeight w:val="0" w:hRule="atLeast"/>
          <w:jc w:val="center"/>
        </w:trPr>
        <w:tc>
          <w:tcPr>
            <w:tcW w:w="6765" w:type="dxa"/>
            <w:gridSpan w:val="6"/>
            <w:tcBorders>
              <w:top w:val="single" w:color="000000" w:sz="4" w:space="0"/>
              <w:left w:val="single" w:color="000000" w:sz="4" w:space="0"/>
              <w:bottom w:val="single" w:color="auto"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总分</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pPr>
              <w:widowControl/>
              <w:snapToGrid w:val="0"/>
              <w:spacing w:line="26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100</w:t>
            </w:r>
          </w:p>
        </w:tc>
        <w:tc>
          <w:tcPr>
            <w:tcW w:w="900" w:type="dxa"/>
            <w:tcBorders>
              <w:top w:val="single" w:color="000000" w:sz="4" w:space="0"/>
              <w:left w:val="single" w:color="000000" w:sz="4" w:space="0"/>
              <w:bottom w:val="single" w:color="auto" w:sz="4" w:space="0"/>
              <w:right w:val="single" w:color="000000" w:sz="4" w:space="0"/>
            </w:tcBorders>
            <w:noWrap w:val="0"/>
            <w:vAlign w:val="center"/>
          </w:tcPr>
          <w:p>
            <w:pPr>
              <w:widowControl/>
              <w:snapToGrid w:val="0"/>
              <w:spacing w:line="260" w:lineRule="exact"/>
              <w:jc w:val="center"/>
              <w:rPr>
                <w:rFonts w:hint="default"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94.8</w:t>
            </w:r>
          </w:p>
        </w:tc>
        <w:tc>
          <w:tcPr>
            <w:tcW w:w="1341" w:type="dxa"/>
            <w:tcBorders>
              <w:top w:val="single" w:color="000000" w:sz="4" w:space="0"/>
              <w:left w:val="single" w:color="000000" w:sz="4" w:space="0"/>
              <w:bottom w:val="single" w:color="auto" w:sz="4" w:space="0"/>
              <w:right w:val="single" w:color="000000" w:sz="4" w:space="0"/>
            </w:tcBorders>
            <w:noWrap w:val="0"/>
            <w:vAlign w:val="center"/>
          </w:tcPr>
          <w:p>
            <w:pPr>
              <w:widowControl/>
              <w:snapToGrid w:val="0"/>
              <w:spacing w:line="260" w:lineRule="exact"/>
              <w:jc w:val="lef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　</w:t>
            </w:r>
          </w:p>
        </w:tc>
      </w:tr>
      <w:bookmarkEnd w:id="4"/>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jc w:val="left"/>
        <w:rPr>
          <w:rFonts w:hint="eastAsia" w:eastAsia="仿宋_GB2312"/>
          <w:sz w:val="22"/>
          <w:szCs w:val="22"/>
          <w:lang w:eastAsia="zh-CN"/>
        </w:rPr>
        <w:sectPr>
          <w:footerReference r:id="rId3" w:type="default"/>
          <w:pgSz w:w="11906" w:h="16838"/>
          <w:pgMar w:top="1417" w:right="1588" w:bottom="1417" w:left="1588" w:header="851" w:footer="992" w:gutter="0"/>
          <w:pgBorders>
            <w:top w:val="none" w:sz="0" w:space="0"/>
            <w:left w:val="none" w:sz="0" w:space="0"/>
            <w:bottom w:val="none" w:sz="0" w:space="0"/>
            <w:right w:val="none" w:sz="0" w:space="0"/>
          </w:pgBorders>
          <w:cols w:space="720" w:num="1"/>
          <w:docGrid w:type="lines" w:linePitch="312" w:charSpace="0"/>
        </w:sectPr>
      </w:pPr>
      <w:r>
        <w:rPr>
          <w:rFonts w:eastAsia="仿宋_GB2312"/>
          <w:sz w:val="22"/>
          <w:szCs w:val="22"/>
        </w:rPr>
        <w:t xml:space="preserve">填表人：       </w:t>
      </w:r>
      <w:r>
        <w:rPr>
          <w:rFonts w:hint="eastAsia" w:eastAsia="仿宋_GB2312"/>
          <w:sz w:val="22"/>
          <w:szCs w:val="22"/>
        </w:rPr>
        <w:t xml:space="preserve"> </w:t>
      </w:r>
      <w:r>
        <w:rPr>
          <w:rFonts w:eastAsia="仿宋_GB2312"/>
          <w:sz w:val="22"/>
          <w:szCs w:val="22"/>
        </w:rPr>
        <w:t xml:space="preserve">填报日期：     </w:t>
      </w:r>
      <w:r>
        <w:rPr>
          <w:rFonts w:hint="eastAsia" w:eastAsia="仿宋_GB2312"/>
          <w:sz w:val="22"/>
          <w:szCs w:val="22"/>
        </w:rPr>
        <w:t xml:space="preserve">      </w:t>
      </w:r>
      <w:r>
        <w:rPr>
          <w:rFonts w:eastAsia="仿宋_GB2312"/>
          <w:sz w:val="22"/>
          <w:szCs w:val="22"/>
        </w:rPr>
        <w:t xml:space="preserve">联系电话：   </w:t>
      </w:r>
      <w:r>
        <w:rPr>
          <w:rFonts w:hint="eastAsia" w:eastAsia="仿宋_GB2312"/>
          <w:sz w:val="22"/>
          <w:szCs w:val="22"/>
        </w:rPr>
        <w:t xml:space="preserve">         </w:t>
      </w:r>
      <w:r>
        <w:rPr>
          <w:rFonts w:eastAsia="仿宋_GB2312"/>
          <w:sz w:val="22"/>
          <w:szCs w:val="22"/>
        </w:rPr>
        <w:t xml:space="preserve"> 单位负责人签字</w:t>
      </w:r>
    </w:p>
    <w:p>
      <w:pPr>
        <w:spacing w:line="600" w:lineRule="exact"/>
        <w:jc w:val="both"/>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表3-19</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2025年度项目支出绩效自评表</w:t>
      </w:r>
    </w:p>
    <w:tbl>
      <w:tblPr>
        <w:tblStyle w:val="14"/>
        <w:tblW w:w="9851" w:type="dxa"/>
        <w:jc w:val="center"/>
        <w:tblLayout w:type="fixed"/>
        <w:tblCellMar>
          <w:top w:w="0" w:type="dxa"/>
          <w:left w:w="108" w:type="dxa"/>
          <w:bottom w:w="0" w:type="dxa"/>
          <w:right w:w="108" w:type="dxa"/>
        </w:tblCellMar>
      </w:tblPr>
      <w:tblGrid>
        <w:gridCol w:w="1080"/>
        <w:gridCol w:w="1080"/>
        <w:gridCol w:w="1080"/>
        <w:gridCol w:w="1249"/>
        <w:gridCol w:w="1095"/>
        <w:gridCol w:w="1155"/>
        <w:gridCol w:w="810"/>
        <w:gridCol w:w="884"/>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西环线人行天桥项目</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04" w:type="dxa"/>
            <w:gridSpan w:val="4"/>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Times New Roman" w:hAnsi="Times New Roman" w:eastAsia="仿宋_GB2312" w:cs="Times New Roman"/>
                <w:color w:val="auto"/>
                <w:kern w:val="0"/>
                <w:sz w:val="21"/>
                <w:szCs w:val="21"/>
                <w:lang w:eastAsia="zh-CN"/>
              </w:rPr>
              <w:t>湖南省住房和</w:t>
            </w:r>
            <w:r>
              <w:rPr>
                <w:rFonts w:hint="eastAsia" w:ascii="Times New Roman" w:hAnsi="Times New Roman" w:eastAsia="仿宋_GB2312" w:cs="Times New Roman"/>
                <w:color w:val="auto"/>
                <w:kern w:val="0"/>
                <w:sz w:val="21"/>
                <w:szCs w:val="21"/>
                <w:lang w:val="en-US" w:eastAsia="zh-CN"/>
              </w:rPr>
              <w:t>城乡建设厅</w:t>
            </w:r>
          </w:p>
        </w:tc>
        <w:tc>
          <w:tcPr>
            <w:tcW w:w="1155" w:type="dxa"/>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2" w:type="dxa"/>
            <w:gridSpan w:val="3"/>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49"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95"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55"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10"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84"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49"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1095"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400</w:t>
            </w:r>
          </w:p>
        </w:tc>
        <w:tc>
          <w:tcPr>
            <w:tcW w:w="1155"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309.5</w:t>
            </w:r>
          </w:p>
        </w:tc>
        <w:tc>
          <w:tcPr>
            <w:tcW w:w="81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84"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77.3%</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7.7</w:t>
            </w:r>
          </w:p>
        </w:tc>
      </w:tr>
      <w:tr>
        <w:tblPrEx>
          <w:tblCellMar>
            <w:top w:w="0" w:type="dxa"/>
            <w:left w:w="108" w:type="dxa"/>
            <w:bottom w:w="0" w:type="dxa"/>
            <w:right w:w="108" w:type="dxa"/>
          </w:tblCellMar>
        </w:tblPrEx>
        <w:trPr>
          <w:trHeight w:val="285"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49"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1095" w:type="dxa"/>
            <w:tcBorders>
              <w:top w:val="nil"/>
              <w:left w:val="nil"/>
              <w:bottom w:val="single" w:color="auto" w:sz="4" w:space="0"/>
              <w:right w:val="single" w:color="auto" w:sz="4" w:space="0"/>
            </w:tcBorders>
            <w:shd w:val="clear" w:color="auto" w:fill="auto"/>
            <w:noWrap w:val="0"/>
            <w:vAlign w:val="center"/>
          </w:tcPr>
          <w:p>
            <w:pPr>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400</w:t>
            </w:r>
          </w:p>
        </w:tc>
        <w:tc>
          <w:tcPr>
            <w:tcW w:w="1155" w:type="dxa"/>
            <w:tcBorders>
              <w:top w:val="nil"/>
              <w:left w:val="nil"/>
              <w:bottom w:val="single" w:color="auto" w:sz="4" w:space="0"/>
              <w:right w:val="single" w:color="auto" w:sz="4" w:space="0"/>
            </w:tcBorders>
            <w:shd w:val="clear" w:color="auto" w:fill="auto"/>
            <w:noWrap w:val="0"/>
            <w:vAlign w:val="center"/>
          </w:tcPr>
          <w:p>
            <w:pPr>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309.5</w:t>
            </w:r>
          </w:p>
        </w:tc>
        <w:tc>
          <w:tcPr>
            <w:tcW w:w="81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8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49"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9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5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1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8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49"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9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5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1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8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04" w:type="dxa"/>
            <w:gridSpan w:val="4"/>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67" w:type="dxa"/>
            <w:gridSpan w:val="4"/>
            <w:tcBorders>
              <w:top w:val="single" w:color="auto" w:sz="4" w:space="0"/>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4504" w:type="dxa"/>
            <w:gridSpan w:val="4"/>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Times New Roman" w:hAnsi="Times New Roman" w:eastAsia="仿宋_GB2312" w:cs="Times New Roman"/>
                <w:color w:val="auto"/>
                <w:kern w:val="0"/>
                <w:sz w:val="21"/>
                <w:szCs w:val="21"/>
                <w:lang w:eastAsia="zh-CN"/>
              </w:rPr>
              <w:t>建设</w:t>
            </w:r>
            <w:r>
              <w:rPr>
                <w:rFonts w:hint="default" w:ascii="Times New Roman" w:hAnsi="Times New Roman" w:eastAsia="仿宋_GB2312" w:cs="Times New Roman"/>
                <w:color w:val="auto"/>
                <w:kern w:val="0"/>
                <w:sz w:val="21"/>
                <w:szCs w:val="21"/>
              </w:rPr>
              <w:t>西环线(梅溪桥洞口北面)人行天桥项目一座</w:t>
            </w:r>
            <w:r>
              <w:rPr>
                <w:rFonts w:hint="eastAsia" w:ascii="Times New Roman" w:hAnsi="Times New Roman" w:eastAsia="仿宋_GB2312" w:cs="Times New Roman"/>
                <w:color w:val="auto"/>
                <w:kern w:val="0"/>
                <w:sz w:val="21"/>
                <w:szCs w:val="21"/>
                <w:lang w:eastAsia="zh-CN"/>
              </w:rPr>
              <w:t>，</w:t>
            </w:r>
            <w:r>
              <w:rPr>
                <w:rFonts w:hint="default" w:ascii="Times New Roman" w:hAnsi="Times New Roman" w:eastAsia="仿宋_GB2312" w:cs="Times New Roman"/>
                <w:color w:val="auto"/>
                <w:kern w:val="0"/>
                <w:sz w:val="21"/>
                <w:szCs w:val="21"/>
              </w:rPr>
              <w:t>构筑我市“交通便捷、行人舒适、景美人和”的绿色生态通道，体现“以人为本”的精神，为行人提供</w:t>
            </w:r>
            <w:r>
              <w:rPr>
                <w:rFonts w:hint="default" w:ascii="Times New Roman" w:hAnsi="Times New Roman" w:eastAsia="仿宋_GB2312" w:cs="Times New Roman"/>
                <w:color w:val="auto"/>
                <w:kern w:val="0"/>
                <w:sz w:val="21"/>
                <w:szCs w:val="21"/>
                <w:lang w:eastAsia="zh-CN"/>
              </w:rPr>
              <w:t>安全</w:t>
            </w:r>
            <w:r>
              <w:rPr>
                <w:rFonts w:hint="default" w:ascii="Times New Roman" w:hAnsi="Times New Roman" w:eastAsia="仿宋_GB2312" w:cs="Times New Roman"/>
                <w:color w:val="auto"/>
                <w:kern w:val="0"/>
                <w:sz w:val="21"/>
                <w:szCs w:val="21"/>
              </w:rPr>
              <w:t>舒适的过街通道</w:t>
            </w:r>
            <w:r>
              <w:rPr>
                <w:rFonts w:hint="eastAsia" w:ascii="Times New Roman" w:hAnsi="Times New Roman" w:eastAsia="仿宋_GB2312" w:cs="Times New Roman"/>
                <w:color w:val="auto"/>
                <w:kern w:val="0"/>
                <w:sz w:val="21"/>
                <w:szCs w:val="21"/>
                <w:lang w:eastAsia="zh-CN"/>
              </w:rPr>
              <w:t>。</w:t>
            </w:r>
            <w:r>
              <w:rPr>
                <w:rFonts w:hint="eastAsia" w:ascii="仿宋_GB2312" w:hAnsi="仿宋_GB2312" w:eastAsia="仿宋_GB2312" w:cs="仿宋_GB2312"/>
                <w:color w:val="000000"/>
                <w:sz w:val="20"/>
                <w:szCs w:val="20"/>
              </w:rPr>
              <w:t>　</w:t>
            </w:r>
          </w:p>
        </w:tc>
        <w:tc>
          <w:tcPr>
            <w:tcW w:w="4267" w:type="dxa"/>
            <w:gridSpan w:val="4"/>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Times New Roman" w:hAnsi="Times New Roman" w:eastAsia="仿宋_GB2312" w:cs="Times New Roman"/>
                <w:color w:val="auto"/>
                <w:kern w:val="0"/>
                <w:sz w:val="21"/>
                <w:szCs w:val="21"/>
                <w:lang w:eastAsia="zh-CN"/>
              </w:rPr>
              <w:t>建设</w:t>
            </w:r>
            <w:r>
              <w:rPr>
                <w:rFonts w:hint="default" w:ascii="Times New Roman" w:hAnsi="Times New Roman" w:eastAsia="仿宋_GB2312" w:cs="Times New Roman"/>
                <w:color w:val="auto"/>
                <w:kern w:val="0"/>
                <w:sz w:val="21"/>
                <w:szCs w:val="21"/>
              </w:rPr>
              <w:t>西环线(梅溪桥洞口北面)人行天桥项目一座</w:t>
            </w:r>
            <w:r>
              <w:rPr>
                <w:rFonts w:hint="eastAsia" w:ascii="Times New Roman" w:hAnsi="Times New Roman" w:eastAsia="仿宋_GB2312" w:cs="Times New Roman"/>
                <w:color w:val="auto"/>
                <w:kern w:val="0"/>
                <w:sz w:val="21"/>
                <w:szCs w:val="21"/>
                <w:lang w:eastAsia="zh-CN"/>
              </w:rPr>
              <w:t>，</w:t>
            </w:r>
            <w:r>
              <w:rPr>
                <w:rFonts w:hint="default" w:ascii="Times New Roman" w:hAnsi="Times New Roman" w:eastAsia="仿宋_GB2312" w:cs="Times New Roman"/>
                <w:color w:val="auto"/>
                <w:kern w:val="0"/>
                <w:sz w:val="21"/>
                <w:szCs w:val="21"/>
              </w:rPr>
              <w:t>构筑我市“交通便捷、行人舒适、景美人和”的绿色生态通道，体现“以人为本”的精神，为行人提供</w:t>
            </w:r>
            <w:r>
              <w:rPr>
                <w:rFonts w:hint="default" w:ascii="Times New Roman" w:hAnsi="Times New Roman" w:eastAsia="仿宋_GB2312" w:cs="Times New Roman"/>
                <w:color w:val="auto"/>
                <w:kern w:val="0"/>
                <w:sz w:val="21"/>
                <w:szCs w:val="21"/>
                <w:lang w:eastAsia="zh-CN"/>
              </w:rPr>
              <w:t>安全</w:t>
            </w:r>
            <w:r>
              <w:rPr>
                <w:rFonts w:hint="default" w:ascii="Times New Roman" w:hAnsi="Times New Roman" w:eastAsia="仿宋_GB2312" w:cs="Times New Roman"/>
                <w:color w:val="auto"/>
                <w:kern w:val="0"/>
                <w:sz w:val="21"/>
                <w:szCs w:val="21"/>
              </w:rPr>
              <w:t>舒适的过街通道</w:t>
            </w:r>
            <w:r>
              <w:rPr>
                <w:rFonts w:hint="eastAsia" w:ascii="Times New Roman" w:hAnsi="Times New Roman" w:eastAsia="仿宋_GB2312" w:cs="Times New Roman"/>
                <w:color w:val="auto"/>
                <w:kern w:val="0"/>
                <w:sz w:val="21"/>
                <w:szCs w:val="21"/>
                <w:lang w:eastAsia="zh-CN"/>
              </w:rPr>
              <w:t>。</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spacing w:line="260" w:lineRule="exact"/>
              <w:jc w:val="center"/>
              <w:rPr>
                <w:rFonts w:hint="eastAsia" w:ascii="仿宋_GB2312" w:hAnsi="仿宋_GB2312" w:eastAsia="仿宋_GB2312" w:cs="仿宋_GB2312"/>
                <w:color w:val="000000"/>
                <w:sz w:val="20"/>
                <w:szCs w:val="20"/>
              </w:rPr>
            </w:pP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default" w:ascii="Times New Roman" w:hAnsi="Times New Roman" w:eastAsia="仿宋_GB2312" w:cs="Times New Roman"/>
                <w:color w:val="000000" w:themeColor="text1"/>
                <w:kern w:val="0"/>
                <w:sz w:val="21"/>
                <w:szCs w:val="21"/>
                <w14:textFill>
                  <w14:solidFill>
                    <w14:schemeClr w14:val="tx1"/>
                  </w14:solidFill>
                </w14:textFill>
              </w:rPr>
              <w:t>钢箱梁人行天桥</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1座</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default" w:ascii="Times New Roman" w:hAnsi="Times New Roman" w:eastAsia="仿宋_GB2312" w:cs="Times New Roman"/>
                <w:color w:val="000000" w:themeColor="text1"/>
                <w:kern w:val="0"/>
                <w:sz w:val="21"/>
                <w:szCs w:val="21"/>
                <w14:textFill>
                  <w14:solidFill>
                    <w14:schemeClr w14:val="tx1"/>
                  </w14:solidFill>
                </w14:textFill>
              </w:rPr>
              <w:t>电梯</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2台</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kern w:val="0"/>
                <w:sz w:val="21"/>
                <w:szCs w:val="21"/>
                <w:lang w:eastAsia="zh-CN"/>
                <w14:textFill>
                  <w14:solidFill>
                    <w14:schemeClr w14:val="tx1"/>
                  </w14:solidFill>
                </w14:textFill>
              </w:rPr>
              <w:t>项目验收合格率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90%</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Times New Roman" w:hAnsi="Times New Roman" w:eastAsia="仿宋_GB2312" w:cs="Times New Roman"/>
                <w:color w:val="000000" w:themeColor="text1"/>
                <w:kern w:val="0"/>
                <w:sz w:val="21"/>
                <w:szCs w:val="21"/>
                <w:lang w:eastAsia="zh-CN"/>
                <w14:textFill>
                  <w14:solidFill>
                    <w14:schemeClr w14:val="tx1"/>
                  </w14:solidFill>
                </w14:textFill>
              </w:rPr>
              <w:t>项目完工时间</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2025年</w:t>
            </w:r>
            <w:r>
              <w:rPr>
                <w:rFonts w:hint="eastAsia" w:ascii="仿宋_GB2312" w:hAnsi="仿宋_GB2312" w:eastAsia="仿宋_GB2312" w:cs="仿宋_GB2312"/>
                <w:color w:val="000000"/>
                <w:sz w:val="20"/>
                <w:szCs w:val="20"/>
                <w:lang w:val="en" w:eastAsia="zh-CN"/>
              </w:rPr>
              <w:t>12</w:t>
            </w:r>
            <w:r>
              <w:rPr>
                <w:rFonts w:hint="eastAsia" w:ascii="仿宋_GB2312" w:hAnsi="仿宋_GB2312" w:eastAsia="仿宋_GB2312" w:cs="仿宋_GB2312"/>
                <w:color w:val="000000"/>
                <w:sz w:val="20"/>
                <w:szCs w:val="20"/>
                <w:lang w:val="en-US" w:eastAsia="zh-CN"/>
              </w:rPr>
              <w:t>月</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2025年</w:t>
            </w:r>
            <w:r>
              <w:rPr>
                <w:rFonts w:hint="eastAsia" w:ascii="仿宋_GB2312" w:hAnsi="仿宋_GB2312" w:eastAsia="仿宋_GB2312" w:cs="仿宋_GB2312"/>
                <w:color w:val="000000"/>
                <w:sz w:val="20"/>
                <w:szCs w:val="20"/>
                <w:lang w:val="en" w:eastAsia="zh-CN"/>
              </w:rPr>
              <w:t>12</w:t>
            </w:r>
            <w:r>
              <w:rPr>
                <w:rFonts w:hint="eastAsia" w:ascii="仿宋_GB2312" w:hAnsi="仿宋_GB2312" w:eastAsia="仿宋_GB2312" w:cs="仿宋_GB2312"/>
                <w:color w:val="000000"/>
                <w:sz w:val="20"/>
                <w:szCs w:val="20"/>
                <w:lang w:val="en-US" w:eastAsia="zh-CN"/>
              </w:rPr>
              <w:t>月</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pacing w:val="-11"/>
                <w:kern w:val="0"/>
                <w:sz w:val="21"/>
                <w:szCs w:val="21"/>
                <w:lang w:val="en-US" w:eastAsia="zh-CN"/>
                <w14:textFill>
                  <w14:solidFill>
                    <w14:schemeClr w14:val="tx1"/>
                  </w14:solidFill>
                </w14:textFill>
              </w:rPr>
              <w:t>概算成本控制率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100%</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default" w:ascii="Times New Roman" w:hAnsi="Times New Roman" w:eastAsia="仿宋_GB2312" w:cs="Times New Roman"/>
                <w:color w:val="000000" w:themeColor="text1"/>
                <w:kern w:val="0"/>
                <w:sz w:val="21"/>
                <w:szCs w:val="21"/>
                <w14:textFill>
                  <w14:solidFill>
                    <w14:schemeClr w14:val="tx1"/>
                  </w14:solidFill>
                </w14:textFill>
              </w:rPr>
              <w:t>社会成本指标</w:t>
            </w:r>
            <w:r>
              <w:rPr>
                <w:rFonts w:hint="eastAsia" w:ascii="仿宋_GB2312" w:hAnsi="仿宋_GB2312" w:eastAsia="仿宋_GB2312" w:cs="仿宋_GB2312"/>
                <w:color w:val="000000" w:themeColor="text1"/>
                <w:spacing w:val="-11"/>
                <w:kern w:val="0"/>
                <w:sz w:val="21"/>
                <w:szCs w:val="21"/>
                <w:lang w:val="en-US" w:eastAsia="zh-CN"/>
                <w14:textFill>
                  <w14:solidFill>
                    <w14:schemeClr w14:val="tx1"/>
                  </w14:solidFill>
                </w14:textFill>
              </w:rPr>
              <w:t>项目施工期群众投诉率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default" w:ascii="Times New Roman" w:hAnsi="Times New Roman" w:eastAsia="仿宋_GB2312" w:cs="Times New Roman"/>
                <w:color w:val="000000" w:themeColor="text1"/>
                <w:kern w:val="0"/>
                <w:sz w:val="21"/>
                <w:szCs w:val="21"/>
                <w14:textFill>
                  <w14:solidFill>
                    <w14:schemeClr w14:val="tx1"/>
                  </w14:solidFill>
                </w14:textFill>
              </w:rPr>
              <w:t>生态环境成本指标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spacing w:line="260" w:lineRule="exact"/>
              <w:jc w:val="left"/>
              <w:rPr>
                <w:rFonts w:hint="eastAsia" w:ascii="仿宋_GB2312" w:hAnsi="仿宋_GB2312" w:eastAsia="仿宋_GB2312" w:cs="仿宋_GB2312"/>
                <w:color w:val="000000"/>
                <w:sz w:val="20"/>
                <w:szCs w:val="20"/>
              </w:rPr>
            </w:pPr>
          </w:p>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Times New Roman" w:hAnsi="Times New Roman" w:eastAsia="仿宋_GB2312" w:cs="Times New Roman"/>
                <w:color w:val="000000" w:themeColor="text1"/>
                <w:kern w:val="0"/>
                <w:sz w:val="21"/>
                <w:szCs w:val="21"/>
                <w:lang w:eastAsia="zh-CN"/>
                <w14:textFill>
                  <w14:solidFill>
                    <w14:schemeClr w14:val="tx1"/>
                  </w14:solidFill>
                </w14:textFill>
              </w:rPr>
              <w:t>投资完成率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90%</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Times New Roman" w:hAnsi="Times New Roman" w:eastAsia="仿宋_GB2312" w:cs="Times New Roman"/>
                <w:color w:val="000000" w:themeColor="text1"/>
                <w:kern w:val="0"/>
                <w:sz w:val="21"/>
                <w:szCs w:val="21"/>
                <w:lang w:eastAsia="zh-CN"/>
                <w14:textFill>
                  <w14:solidFill>
                    <w14:schemeClr w14:val="tx1"/>
                  </w14:solidFill>
                </w14:textFill>
              </w:rPr>
              <w:t>交通安全事故发生率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0%</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Times New Roman" w:hAnsi="Times New Roman" w:eastAsia="仿宋_GB2312" w:cs="Times New Roman"/>
                <w:color w:val="000000" w:themeColor="text1"/>
                <w:kern w:val="0"/>
                <w:sz w:val="21"/>
                <w:szCs w:val="21"/>
                <w:lang w:eastAsia="zh-CN"/>
                <w14:textFill>
                  <w14:solidFill>
                    <w14:schemeClr w14:val="tx1"/>
                  </w14:solidFill>
                </w14:textFill>
              </w:rPr>
              <w:t>周边步行人数</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both"/>
              <w:rPr>
                <w:rFonts w:hint="eastAsia" w:ascii="仿宋_GB2312" w:hAnsi="仿宋_GB2312" w:eastAsia="仿宋_GB2312" w:cs="仿宋_GB2312"/>
                <w:color w:val="000000"/>
                <w:sz w:val="20"/>
                <w:szCs w:val="20"/>
              </w:rPr>
            </w:pPr>
            <w:r>
              <w:rPr>
                <w:rFonts w:hint="default" w:ascii="仿宋_GB2312" w:hAnsi="仿宋_GB2312" w:eastAsia="仿宋_GB2312" w:cs="仿宋_GB2312"/>
                <w:color w:val="000000"/>
                <w:sz w:val="20"/>
                <w:szCs w:val="20"/>
                <w:lang w:eastAsia="zh-CN"/>
              </w:rPr>
              <w:t>≥</w:t>
            </w:r>
            <w:r>
              <w:rPr>
                <w:rFonts w:hint="default" w:ascii="仿宋_GB2312" w:hAnsi="仿宋_GB2312" w:eastAsia="仿宋_GB2312" w:cs="仿宋_GB2312"/>
                <w:color w:val="000000"/>
                <w:sz w:val="20"/>
                <w:szCs w:val="20"/>
                <w:lang w:val="en-US" w:eastAsia="zh-CN"/>
              </w:rPr>
              <w:t>10</w:t>
            </w:r>
            <w:r>
              <w:rPr>
                <w:rFonts w:hint="default" w:ascii="仿宋_GB2312" w:hAnsi="仿宋_GB2312" w:eastAsia="仿宋_GB2312" w:cs="仿宋_GB2312"/>
                <w:color w:val="000000"/>
                <w:sz w:val="20"/>
                <w:szCs w:val="20"/>
                <w:lang w:eastAsia="zh-CN"/>
              </w:rPr>
              <w:t>000人</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default" w:ascii="仿宋_GB2312" w:hAnsi="仿宋_GB2312" w:eastAsia="仿宋_GB2312" w:cs="仿宋_GB2312"/>
                <w:color w:val="000000"/>
                <w:sz w:val="20"/>
                <w:szCs w:val="20"/>
                <w:lang w:eastAsia="zh-CN"/>
              </w:rPr>
              <w:t>≥</w:t>
            </w:r>
            <w:r>
              <w:rPr>
                <w:rFonts w:hint="default" w:ascii="仿宋_GB2312" w:hAnsi="仿宋_GB2312" w:eastAsia="仿宋_GB2312" w:cs="仿宋_GB2312"/>
                <w:color w:val="000000"/>
                <w:sz w:val="20"/>
                <w:szCs w:val="20"/>
                <w:lang w:val="en-US" w:eastAsia="zh-CN"/>
              </w:rPr>
              <w:t>10</w:t>
            </w:r>
            <w:r>
              <w:rPr>
                <w:rFonts w:hint="default" w:ascii="仿宋_GB2312" w:hAnsi="仿宋_GB2312" w:eastAsia="仿宋_GB2312" w:cs="仿宋_GB2312"/>
                <w:color w:val="000000"/>
                <w:sz w:val="20"/>
                <w:szCs w:val="20"/>
                <w:lang w:eastAsia="zh-CN"/>
              </w:rPr>
              <w:t>000人</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Times New Roman" w:hAnsi="Times New Roman" w:eastAsia="仿宋_GB2312" w:cs="Times New Roman"/>
                <w:color w:val="000000" w:themeColor="text1"/>
                <w:kern w:val="0"/>
                <w:sz w:val="21"/>
                <w:szCs w:val="21"/>
                <w:lang w:val="en-US" w:eastAsia="zh-CN"/>
                <w14:textFill>
                  <w14:solidFill>
                    <w14:schemeClr w14:val="tx1"/>
                  </w14:solidFill>
                </w14:textFill>
              </w:rPr>
              <w:t>社会公众满意度</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 w:eastAsia="zh-CN"/>
              </w:rPr>
              <w:t>90</w:t>
            </w:r>
            <w:r>
              <w:rPr>
                <w:rFonts w:hint="eastAsia" w:ascii="仿宋_GB2312" w:hAnsi="仿宋_GB2312" w:eastAsia="仿宋_GB2312" w:cs="仿宋_GB2312"/>
                <w:color w:val="000000"/>
                <w:sz w:val="20"/>
                <w:szCs w:val="20"/>
                <w:lang w:val="en-US" w:eastAsia="zh-CN"/>
              </w:rPr>
              <w:t>%</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 w:eastAsia="zh-CN"/>
              </w:rPr>
              <w:t>90</w:t>
            </w:r>
            <w:r>
              <w:rPr>
                <w:rFonts w:hint="eastAsia" w:ascii="仿宋_GB2312" w:hAnsi="仿宋_GB2312" w:eastAsia="仿宋_GB2312" w:cs="仿宋_GB2312"/>
                <w:color w:val="000000"/>
                <w:sz w:val="20"/>
                <w:szCs w:val="20"/>
                <w:lang w:val="en-US" w:eastAsia="zh-CN"/>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9" w:type="dxa"/>
            <w:gridSpan w:val="6"/>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1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100</w:t>
            </w:r>
          </w:p>
        </w:tc>
        <w:tc>
          <w:tcPr>
            <w:tcW w:w="88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97.7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jc w:val="left"/>
        <w:rPr>
          <w:rFonts w:hint="eastAsia" w:eastAsia="仿宋_GB2312"/>
          <w:sz w:val="22"/>
          <w:szCs w:val="22"/>
          <w:lang w:eastAsia="zh-CN"/>
        </w:rPr>
        <w:sectPr>
          <w:pgSz w:w="11906" w:h="16838"/>
          <w:pgMar w:top="1417" w:right="1588" w:bottom="1417" w:left="1588" w:header="851" w:footer="992" w:gutter="0"/>
          <w:pgBorders>
            <w:top w:val="none" w:sz="0" w:space="0"/>
            <w:left w:val="none" w:sz="0" w:space="0"/>
            <w:bottom w:val="none" w:sz="0" w:space="0"/>
            <w:right w:val="none" w:sz="0" w:space="0"/>
          </w:pgBorders>
          <w:cols w:space="720" w:num="1"/>
          <w:docGrid w:type="lines" w:linePitch="312" w:charSpace="0"/>
        </w:sectPr>
      </w:pPr>
      <w:r>
        <w:rPr>
          <w:rFonts w:eastAsia="仿宋_GB2312"/>
          <w:sz w:val="22"/>
          <w:szCs w:val="22"/>
        </w:rPr>
        <w:t xml:space="preserve">填表人：       </w:t>
      </w:r>
      <w:r>
        <w:rPr>
          <w:rFonts w:hint="eastAsia" w:eastAsia="仿宋_GB2312"/>
          <w:sz w:val="22"/>
          <w:szCs w:val="22"/>
        </w:rPr>
        <w:t xml:space="preserve"> </w:t>
      </w:r>
      <w:r>
        <w:rPr>
          <w:rFonts w:eastAsia="仿宋_GB2312"/>
          <w:sz w:val="22"/>
          <w:szCs w:val="22"/>
        </w:rPr>
        <w:t xml:space="preserve">填报日期：     </w:t>
      </w:r>
      <w:r>
        <w:rPr>
          <w:rFonts w:hint="eastAsia" w:eastAsia="仿宋_GB2312"/>
          <w:sz w:val="22"/>
          <w:szCs w:val="22"/>
        </w:rPr>
        <w:t xml:space="preserve">      </w:t>
      </w:r>
      <w:r>
        <w:rPr>
          <w:rFonts w:eastAsia="仿宋_GB2312"/>
          <w:sz w:val="22"/>
          <w:szCs w:val="22"/>
        </w:rPr>
        <w:t xml:space="preserve">联系电话：   </w:t>
      </w:r>
      <w:r>
        <w:rPr>
          <w:rFonts w:hint="eastAsia" w:eastAsia="仿宋_GB2312"/>
          <w:sz w:val="22"/>
          <w:szCs w:val="22"/>
        </w:rPr>
        <w:t xml:space="preserve">         </w:t>
      </w:r>
      <w:r>
        <w:rPr>
          <w:rFonts w:eastAsia="仿宋_GB2312"/>
          <w:sz w:val="22"/>
          <w:szCs w:val="22"/>
        </w:rPr>
        <w:t xml:space="preserve"> 单位负责人签字</w:t>
      </w:r>
      <w:r>
        <w:rPr>
          <w:rFonts w:hint="eastAsia" w:eastAsia="仿宋_GB2312"/>
          <w:sz w:val="22"/>
          <w:szCs w:val="22"/>
          <w:lang w:eastAsia="zh-CN"/>
        </w:rPr>
        <w:t>：</w:t>
      </w:r>
    </w:p>
    <w:p>
      <w:pPr>
        <w:spacing w:line="600" w:lineRule="exact"/>
        <w:jc w:val="left"/>
        <w:rPr>
          <w:rFonts w:hint="default" w:ascii="黑体" w:hAnsi="黑体" w:eastAsia="黑体" w:cs="黑体"/>
          <w:sz w:val="32"/>
          <w:szCs w:val="32"/>
          <w:lang w:val="en-US"/>
        </w:rPr>
      </w:pPr>
      <w:r>
        <w:rPr>
          <w:rFonts w:hint="eastAsia" w:ascii="黑体" w:hAnsi="黑体" w:eastAsia="黑体" w:cs="黑体"/>
          <w:sz w:val="32"/>
          <w:szCs w:val="32"/>
          <w:lang w:val="en-US" w:eastAsia="zh-CN"/>
        </w:rPr>
        <w:t>表3-20</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2025年度项目支出绩效自评表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180"/>
        <w:gridCol w:w="980"/>
        <w:gridCol w:w="1300"/>
        <w:gridCol w:w="1058"/>
        <w:gridCol w:w="1207"/>
        <w:gridCol w:w="825"/>
        <w:gridCol w:w="80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金凤桥临时截污管网工程项目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07" w:type="dxa"/>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046" w:type="dxa"/>
            <w:gridSpan w:val="3"/>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300"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58"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207"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5"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03"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30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58"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40</w:t>
            </w:r>
          </w:p>
        </w:tc>
        <w:tc>
          <w:tcPr>
            <w:tcW w:w="1207"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30.73</w:t>
            </w:r>
          </w:p>
        </w:tc>
        <w:tc>
          <w:tcPr>
            <w:tcW w:w="82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03"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76.8%</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7.68</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30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58" w:type="dxa"/>
            <w:tcBorders>
              <w:top w:val="nil"/>
              <w:left w:val="nil"/>
              <w:bottom w:val="single" w:color="auto" w:sz="4" w:space="0"/>
              <w:right w:val="single" w:color="auto" w:sz="4" w:space="0"/>
            </w:tcBorders>
            <w:shd w:val="clear" w:color="auto" w:fill="auto"/>
            <w:noWrap w:val="0"/>
            <w:vAlign w:val="center"/>
          </w:tcPr>
          <w:p>
            <w:pPr>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40</w:t>
            </w:r>
          </w:p>
        </w:tc>
        <w:tc>
          <w:tcPr>
            <w:tcW w:w="1207" w:type="dxa"/>
            <w:tcBorders>
              <w:top w:val="nil"/>
              <w:left w:val="nil"/>
              <w:bottom w:val="single" w:color="auto" w:sz="4" w:space="0"/>
              <w:right w:val="single" w:color="auto" w:sz="4" w:space="0"/>
            </w:tcBorders>
            <w:shd w:val="clear" w:color="auto" w:fill="auto"/>
            <w:noWrap w:val="0"/>
            <w:vAlign w:val="center"/>
          </w:tcPr>
          <w:p>
            <w:pPr>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30.73</w:t>
            </w:r>
          </w:p>
        </w:tc>
        <w:tc>
          <w:tcPr>
            <w:tcW w:w="82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03"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30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5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07"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03"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300"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5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07"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5"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03"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4253" w:type="dxa"/>
            <w:gridSpan w:val="4"/>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1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spacing w:line="260" w:lineRule="exact"/>
              <w:jc w:val="center"/>
              <w:rPr>
                <w:rFonts w:hint="eastAsia" w:ascii="仿宋_GB2312" w:hAnsi="仿宋_GB2312" w:eastAsia="仿宋_GB2312" w:cs="仿宋_GB2312"/>
                <w:color w:val="000000"/>
                <w:sz w:val="20"/>
                <w:szCs w:val="20"/>
              </w:rPr>
            </w:pP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9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新建1座2.0*1.5m污水收集池</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一座</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污水提升泵</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2台</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DN80的污水压力管</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700米</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8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验收合格率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9</w:t>
            </w:r>
            <w:r>
              <w:rPr>
                <w:rFonts w:hint="eastAsia" w:ascii="仿宋_GB2312" w:hAnsi="仿宋_GB2312" w:eastAsia="仿宋_GB2312" w:cs="仿宋_GB2312"/>
                <w:color w:val="000000"/>
                <w:sz w:val="20"/>
                <w:szCs w:val="20"/>
              </w:rPr>
              <w:t>0%</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项目建设按期完成</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2024年5月完工</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lang w:val="en-US" w:eastAsia="zh-CN"/>
              </w:rPr>
              <w:t>2024年6月完工</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概算成本控制率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项目施工期群众投诉率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0%</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施工扬尘控制达标率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spacing w:line="260" w:lineRule="exact"/>
              <w:jc w:val="left"/>
              <w:rPr>
                <w:rFonts w:hint="eastAsia" w:ascii="仿宋_GB2312" w:hAnsi="仿宋_GB2312" w:eastAsia="仿宋_GB2312" w:cs="仿宋_GB2312"/>
                <w:color w:val="000000"/>
                <w:sz w:val="20"/>
                <w:szCs w:val="20"/>
              </w:rPr>
            </w:pPr>
          </w:p>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投资完成率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改善污水管网</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w:t>
            </w:r>
            <w:r>
              <w:rPr>
                <w:rFonts w:hint="eastAsia" w:ascii="仿宋_GB2312" w:hAnsi="仿宋_GB2312" w:eastAsia="仿宋_GB2312" w:cs="仿宋_GB2312"/>
                <w:color w:val="000000"/>
                <w:sz w:val="20"/>
                <w:szCs w:val="20"/>
                <w:lang w:val="en-US" w:eastAsia="zh-CN"/>
              </w:rPr>
              <w:t>社会</w:t>
            </w:r>
            <w:r>
              <w:rPr>
                <w:rFonts w:hint="eastAsia" w:ascii="仿宋_GB2312" w:hAnsi="仿宋_GB2312" w:eastAsia="仿宋_GB2312" w:cs="仿宋_GB2312"/>
                <w:color w:val="000000"/>
                <w:sz w:val="20"/>
                <w:szCs w:val="20"/>
              </w:rPr>
              <w:t>效益</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有良好</w:t>
            </w:r>
            <w:r>
              <w:rPr>
                <w:rFonts w:hint="eastAsia" w:ascii="仿宋_GB2312" w:hAnsi="仿宋_GB2312" w:eastAsia="仿宋_GB2312" w:cs="仿宋_GB2312"/>
                <w:color w:val="000000"/>
                <w:sz w:val="20"/>
                <w:szCs w:val="20"/>
                <w:lang w:val="en-US" w:eastAsia="zh-CN"/>
              </w:rPr>
              <w:t>社会</w:t>
            </w:r>
            <w:r>
              <w:rPr>
                <w:rFonts w:hint="eastAsia" w:ascii="仿宋_GB2312" w:hAnsi="仿宋_GB2312" w:eastAsia="仿宋_GB2312" w:cs="仿宋_GB2312"/>
                <w:color w:val="000000"/>
                <w:sz w:val="20"/>
                <w:szCs w:val="20"/>
              </w:rPr>
              <w:t>效益</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对周边环境影响</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显著改善</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显著改善</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长期提升污水输送</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较大提升</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较大提升</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9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社会公众满意度</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
              </w:rPr>
              <w:t>90</w:t>
            </w:r>
            <w:r>
              <w:rPr>
                <w:rFonts w:hint="eastAsia" w:ascii="仿宋_GB2312" w:hAnsi="仿宋_GB2312" w:eastAsia="仿宋_GB2312" w:cs="仿宋_GB2312"/>
                <w:color w:val="000000"/>
                <w:sz w:val="20"/>
                <w:szCs w:val="20"/>
              </w:rPr>
              <w:t>%</w:t>
            </w:r>
          </w:p>
        </w:tc>
        <w:tc>
          <w:tcPr>
            <w:tcW w:w="1207"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805" w:type="dxa"/>
            <w:gridSpan w:val="6"/>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100</w:t>
            </w:r>
          </w:p>
        </w:tc>
        <w:tc>
          <w:tcPr>
            <w:tcW w:w="80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97.6</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spacing w:line="600" w:lineRule="exact"/>
        <w:jc w:val="left"/>
        <w:rPr>
          <w:rFonts w:hint="default" w:ascii="黑体" w:hAnsi="黑体" w:eastAsia="仿宋_GB2312" w:cs="黑体"/>
          <w:sz w:val="32"/>
          <w:szCs w:val="32"/>
          <w:lang w:val="en-US" w:eastAsia="zh-CN"/>
        </w:rPr>
      </w:pPr>
      <w:r>
        <w:rPr>
          <w:rFonts w:eastAsia="仿宋_GB2312"/>
          <w:sz w:val="22"/>
          <w:szCs w:val="22"/>
        </w:rPr>
        <w:t xml:space="preserve">填表人：       </w:t>
      </w:r>
      <w:r>
        <w:rPr>
          <w:rFonts w:hint="eastAsia" w:eastAsia="仿宋_GB2312"/>
          <w:sz w:val="22"/>
          <w:szCs w:val="22"/>
        </w:rPr>
        <w:t xml:space="preserve"> </w:t>
      </w:r>
      <w:r>
        <w:rPr>
          <w:rFonts w:eastAsia="仿宋_GB2312"/>
          <w:sz w:val="22"/>
          <w:szCs w:val="22"/>
        </w:rPr>
        <w:t xml:space="preserve">填报日期：     </w:t>
      </w:r>
      <w:r>
        <w:rPr>
          <w:rFonts w:hint="eastAsia" w:eastAsia="仿宋_GB2312"/>
          <w:sz w:val="22"/>
          <w:szCs w:val="22"/>
        </w:rPr>
        <w:t xml:space="preserve">      </w:t>
      </w:r>
      <w:r>
        <w:rPr>
          <w:rFonts w:eastAsia="仿宋_GB2312"/>
          <w:sz w:val="22"/>
          <w:szCs w:val="22"/>
        </w:rPr>
        <w:t xml:space="preserve">联系电话：   </w:t>
      </w:r>
      <w:r>
        <w:rPr>
          <w:rFonts w:hint="eastAsia" w:eastAsia="仿宋_GB2312"/>
          <w:sz w:val="22"/>
          <w:szCs w:val="22"/>
        </w:rPr>
        <w:t xml:space="preserve">         </w:t>
      </w:r>
      <w:r>
        <w:rPr>
          <w:rFonts w:eastAsia="仿宋_GB2312"/>
          <w:sz w:val="22"/>
          <w:szCs w:val="22"/>
        </w:rPr>
        <w:t xml:space="preserve"> 单位负责人签字：</w:t>
      </w:r>
      <w:r>
        <w:rPr>
          <w:rFonts w:eastAsia="仿宋_GB2312"/>
          <w:sz w:val="22"/>
          <w:szCs w:val="22"/>
        </w:rPr>
        <w:br w:type="page"/>
      </w:r>
      <w:r>
        <w:rPr>
          <w:rFonts w:hint="eastAsia" w:ascii="黑体" w:hAnsi="黑体" w:eastAsia="黑体" w:cs="黑体"/>
          <w:sz w:val="32"/>
          <w:szCs w:val="32"/>
          <w:lang w:val="en-US" w:eastAsia="zh-CN"/>
        </w:rPr>
        <w:t>表3-21</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2025年度项目支出绩效自评表</w:t>
      </w:r>
    </w:p>
    <w:tbl>
      <w:tblPr>
        <w:tblStyle w:val="1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洞庭湖大桥306省道海绵改造项目（北门渡口—洞庭湖大桥下标段）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岳阳市住房和城乡建设局</w:t>
            </w:r>
          </w:p>
        </w:tc>
        <w:tc>
          <w:tcPr>
            <w:tcW w:w="1134" w:type="dxa"/>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kern w:val="0"/>
                <w:sz w:val="20"/>
                <w:szCs w:val="20"/>
              </w:rPr>
              <w:t>岳阳市城乡建设事务中心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0"/>
            <w:vAlign w:val="center"/>
          </w:tcPr>
          <w:p>
            <w:pPr>
              <w:spacing w:line="260" w:lineRule="exact"/>
              <w:jc w:val="left"/>
              <w:rPr>
                <w:rFonts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noWrap w:val="0"/>
            <w:vAlign w:val="center"/>
          </w:tcPr>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270</w:t>
            </w:r>
          </w:p>
        </w:tc>
        <w:tc>
          <w:tcPr>
            <w:tcW w:w="1134" w:type="dxa"/>
            <w:tcBorders>
              <w:top w:val="nil"/>
              <w:left w:val="nil"/>
              <w:bottom w:val="single" w:color="auto" w:sz="4" w:space="0"/>
              <w:right w:val="single" w:color="auto" w:sz="4" w:space="0"/>
            </w:tcBorders>
            <w:noWrap w:val="0"/>
            <w:vAlign w:val="center"/>
          </w:tcPr>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139.02</w:t>
            </w:r>
          </w:p>
        </w:tc>
        <w:tc>
          <w:tcPr>
            <w:tcW w:w="82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pPr>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51.4%</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5.14</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134" w:type="dxa"/>
            <w:tcBorders>
              <w:top w:val="nil"/>
              <w:left w:val="nil"/>
              <w:bottom w:val="single" w:color="auto" w:sz="4" w:space="0"/>
              <w:right w:val="single" w:color="auto" w:sz="4" w:space="0"/>
            </w:tcBorders>
            <w:shd w:val="clear" w:color="auto" w:fill="auto"/>
            <w:noWrap w:val="0"/>
            <w:vAlign w:val="center"/>
          </w:tcPr>
          <w:p>
            <w:pPr>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270</w:t>
            </w:r>
          </w:p>
        </w:tc>
        <w:tc>
          <w:tcPr>
            <w:tcW w:w="1134" w:type="dxa"/>
            <w:tcBorders>
              <w:top w:val="nil"/>
              <w:left w:val="nil"/>
              <w:bottom w:val="single" w:color="auto" w:sz="4" w:space="0"/>
              <w:right w:val="single" w:color="auto" w:sz="4" w:space="0"/>
            </w:tcBorders>
            <w:shd w:val="clear" w:color="auto" w:fill="auto"/>
            <w:noWrap w:val="0"/>
            <w:vAlign w:val="center"/>
          </w:tcPr>
          <w:p>
            <w:pPr>
              <w:spacing w:line="260" w:lineRule="exact"/>
              <w:jc w:val="left"/>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139.02</w:t>
            </w:r>
          </w:p>
        </w:tc>
        <w:tc>
          <w:tcPr>
            <w:tcW w:w="82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spacing w:line="26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418" w:type="dxa"/>
            <w:tcBorders>
              <w:top w:val="nil"/>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项目竣工验收　　</w:t>
            </w:r>
          </w:p>
        </w:tc>
        <w:tc>
          <w:tcPr>
            <w:tcW w:w="4253" w:type="dxa"/>
            <w:gridSpan w:val="4"/>
            <w:tcBorders>
              <w:top w:val="single" w:color="auto" w:sz="4" w:space="0"/>
              <w:left w:val="nil"/>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项目已竣工验收并办理结算</w:t>
            </w: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spacing w:line="260" w:lineRule="exact"/>
              <w:jc w:val="center"/>
              <w:rPr>
                <w:rFonts w:hint="eastAsia" w:ascii="仿宋_GB2312" w:hAnsi="仿宋_GB2312" w:eastAsia="仿宋_GB2312" w:cs="仿宋_GB2312"/>
                <w:color w:val="000000"/>
                <w:sz w:val="20"/>
                <w:szCs w:val="20"/>
              </w:rPr>
            </w:pP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洞庭大桥桥下彩绘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1.5万m2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1.5万m2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项目验收合格率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项目完工时间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2025年</w:t>
            </w:r>
            <w:r>
              <w:rPr>
                <w:rFonts w:hint="eastAsia" w:ascii="仿宋_GB2312" w:hAnsi="仿宋_GB2312" w:eastAsia="仿宋_GB2312" w:cs="仿宋_GB2312"/>
                <w:color w:val="000000"/>
                <w:sz w:val="20"/>
                <w:szCs w:val="20"/>
                <w:lang w:val="en"/>
              </w:rPr>
              <w:t>12</w:t>
            </w:r>
            <w:r>
              <w:rPr>
                <w:rFonts w:hint="eastAsia" w:ascii="仿宋_GB2312" w:hAnsi="仿宋_GB2312" w:eastAsia="仿宋_GB2312" w:cs="仿宋_GB2312"/>
                <w:color w:val="000000"/>
                <w:sz w:val="20"/>
                <w:szCs w:val="20"/>
              </w:rPr>
              <w:t>月</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2025年5月完工</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概算成本控制率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项目施工期群众投诉率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施工扬尘控制达标率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spacing w:line="260" w:lineRule="exact"/>
              <w:jc w:val="left"/>
              <w:rPr>
                <w:rFonts w:hint="eastAsia" w:ascii="仿宋_GB2312" w:hAnsi="仿宋_GB2312" w:eastAsia="仿宋_GB2312" w:cs="仿宋_GB2312"/>
                <w:color w:val="000000"/>
                <w:sz w:val="20"/>
                <w:szCs w:val="20"/>
              </w:rPr>
            </w:pPr>
          </w:p>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（40分）</w:t>
            </w:r>
          </w:p>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投资完成率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公益性投资项目经济收益</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较少</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无</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为游客提供舒适环境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显著改善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显著改善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对周边环境影响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显著改善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显著改善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社会公众满意度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
              </w:rPr>
              <w:t>90</w:t>
            </w:r>
            <w:r>
              <w:rPr>
                <w:rFonts w:hint="eastAsia" w:ascii="仿宋_GB2312" w:hAnsi="仿宋_GB2312" w:eastAsia="仿宋_GB2312" w:cs="仿宋_GB2312"/>
                <w:color w:val="000000"/>
                <w:sz w:val="20"/>
                <w:szCs w:val="20"/>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　</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95.1</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eastAsia" w:eastAsia="仿宋_GB2312"/>
          <w:sz w:val="18"/>
          <w:szCs w:val="18"/>
        </w:rPr>
      </w:pPr>
      <w:r>
        <w:rPr>
          <w:rFonts w:eastAsia="仿宋_GB2312"/>
          <w:sz w:val="18"/>
          <w:szCs w:val="18"/>
        </w:rPr>
        <w:t>备注：一个一级项目支出一张表。</w:t>
      </w:r>
      <w:r>
        <w:rPr>
          <w:rFonts w:hint="eastAsia" w:eastAsia="仿宋_GB2312"/>
          <w:sz w:val="18"/>
          <w:szCs w:val="18"/>
        </w:rPr>
        <w:t>如，</w:t>
      </w:r>
      <w:r>
        <w:rPr>
          <w:rFonts w:eastAsia="仿宋_GB2312"/>
          <w:sz w:val="18"/>
          <w:szCs w:val="18"/>
        </w:rPr>
        <w:t>业务工作经费</w:t>
      </w:r>
      <w:r>
        <w:rPr>
          <w:rFonts w:hint="eastAsia" w:eastAsia="仿宋_GB2312"/>
          <w:sz w:val="18"/>
          <w:szCs w:val="18"/>
        </w:rPr>
        <w:t>，</w:t>
      </w:r>
      <w:r>
        <w:rPr>
          <w:rFonts w:eastAsia="仿宋_GB2312"/>
          <w:sz w:val="18"/>
          <w:szCs w:val="18"/>
        </w:rPr>
        <w:t>运行维护经费</w:t>
      </w:r>
      <w:r>
        <w:rPr>
          <w:rFonts w:hint="eastAsia" w:eastAsia="仿宋_GB2312"/>
          <w:sz w:val="18"/>
          <w:szCs w:val="18"/>
        </w:rPr>
        <w:t>，其他事业发展类资金…各一张表。</w:t>
      </w:r>
    </w:p>
    <w:p>
      <w:pPr>
        <w:rPr>
          <w:rFonts w:eastAsia="仿宋_GB2312"/>
          <w:sz w:val="18"/>
          <w:szCs w:val="18"/>
        </w:rPr>
      </w:pPr>
    </w:p>
    <w:p>
      <w:pPr>
        <w:jc w:val="left"/>
        <w:rPr>
          <w:rFonts w:eastAsia="仿宋_GB2312"/>
          <w:sz w:val="22"/>
          <w:szCs w:val="22"/>
        </w:rPr>
      </w:pPr>
      <w:r>
        <w:rPr>
          <w:rFonts w:eastAsia="仿宋_GB2312"/>
          <w:sz w:val="22"/>
          <w:szCs w:val="22"/>
        </w:rPr>
        <w:t xml:space="preserve">填表人：       </w:t>
      </w:r>
      <w:r>
        <w:rPr>
          <w:rFonts w:hint="eastAsia" w:eastAsia="仿宋_GB2312"/>
          <w:sz w:val="22"/>
          <w:szCs w:val="22"/>
        </w:rPr>
        <w:t xml:space="preserve"> </w:t>
      </w:r>
      <w:r>
        <w:rPr>
          <w:rFonts w:eastAsia="仿宋_GB2312"/>
          <w:sz w:val="22"/>
          <w:szCs w:val="22"/>
        </w:rPr>
        <w:t xml:space="preserve">填报日期：     </w:t>
      </w:r>
      <w:r>
        <w:rPr>
          <w:rFonts w:hint="eastAsia" w:eastAsia="仿宋_GB2312"/>
          <w:sz w:val="22"/>
          <w:szCs w:val="22"/>
        </w:rPr>
        <w:t xml:space="preserve">      </w:t>
      </w:r>
      <w:r>
        <w:rPr>
          <w:rFonts w:eastAsia="仿宋_GB2312"/>
          <w:sz w:val="22"/>
          <w:szCs w:val="22"/>
        </w:rPr>
        <w:t xml:space="preserve">联系电话：   </w:t>
      </w:r>
      <w:r>
        <w:rPr>
          <w:rFonts w:hint="eastAsia" w:eastAsia="仿宋_GB2312"/>
          <w:sz w:val="22"/>
          <w:szCs w:val="22"/>
        </w:rPr>
        <w:t xml:space="preserve">         </w:t>
      </w:r>
      <w:r>
        <w:rPr>
          <w:rFonts w:eastAsia="仿宋_GB2312"/>
          <w:sz w:val="22"/>
          <w:szCs w:val="22"/>
        </w:rPr>
        <w:t xml:space="preserve"> 单位负责人签字：</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szCs w:val="22"/>
          <w:highlight w:val="none"/>
        </w:rPr>
      </w:pP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szCs w:val="22"/>
          <w:highlight w:val="none"/>
        </w:rPr>
      </w:pPr>
    </w:p>
    <w:p>
      <w:r>
        <w:br w:type="page"/>
      </w:r>
    </w:p>
    <w:p>
      <w:pPr>
        <w:widowControl/>
        <w:spacing w:line="600" w:lineRule="exact"/>
        <w:jc w:val="left"/>
        <w:rPr>
          <w:rFonts w:hint="default" w:ascii="Times New Roman" w:hAnsi="Times New Roman" w:eastAsia="黑体"/>
          <w:sz w:val="32"/>
          <w:szCs w:val="32"/>
          <w:lang w:val="en-US" w:eastAsia="zh-CN"/>
        </w:rPr>
      </w:pPr>
      <w:r>
        <w:rPr>
          <w:rFonts w:hint="eastAsia" w:ascii="黑体" w:hAnsi="黑体" w:eastAsia="黑体" w:cs="黑体"/>
          <w:sz w:val="32"/>
          <w:szCs w:val="32"/>
        </w:rPr>
        <w:t>附件3</w:t>
      </w:r>
      <w:r>
        <w:rPr>
          <w:rFonts w:hint="eastAsia" w:ascii="黑体" w:hAnsi="黑体" w:eastAsia="黑体" w:cs="黑体"/>
          <w:sz w:val="32"/>
          <w:szCs w:val="32"/>
          <w:lang w:val="en-US" w:eastAsia="zh-CN"/>
        </w:rPr>
        <w:t>-22</w:t>
      </w:r>
    </w:p>
    <w:p>
      <w:pPr>
        <w:widowControl/>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5</w:t>
      </w:r>
      <w:r>
        <w:rPr>
          <w:rFonts w:hint="eastAsia" w:ascii="方正小标宋简体" w:hAnsi="方正小标宋简体" w:eastAsia="方正小标宋简体" w:cs="方正小标宋简体"/>
          <w:color w:val="000000"/>
          <w:sz w:val="36"/>
          <w:szCs w:val="36"/>
        </w:rPr>
        <w:t>年度项目支出绩效自评表</w:t>
      </w:r>
    </w:p>
    <w:tbl>
      <w:tblPr>
        <w:tblStyle w:val="14"/>
        <w:tblW w:w="10127" w:type="dxa"/>
        <w:jc w:val="center"/>
        <w:tblLayout w:type="fixed"/>
        <w:tblCellMar>
          <w:top w:w="0" w:type="dxa"/>
          <w:left w:w="108" w:type="dxa"/>
          <w:bottom w:w="0" w:type="dxa"/>
          <w:right w:w="108" w:type="dxa"/>
        </w:tblCellMar>
      </w:tblPr>
      <w:tblGrid>
        <w:gridCol w:w="1046"/>
        <w:gridCol w:w="1337"/>
        <w:gridCol w:w="975"/>
        <w:gridCol w:w="1335"/>
        <w:gridCol w:w="1041"/>
        <w:gridCol w:w="1209"/>
        <w:gridCol w:w="856"/>
        <w:gridCol w:w="779"/>
        <w:gridCol w:w="1549"/>
      </w:tblGrid>
      <w:tr>
        <w:tblPrEx>
          <w:tblCellMar>
            <w:top w:w="0" w:type="dxa"/>
            <w:left w:w="108" w:type="dxa"/>
            <w:bottom w:w="0" w:type="dxa"/>
            <w:right w:w="108" w:type="dxa"/>
          </w:tblCellMar>
        </w:tblPrEx>
        <w:trPr>
          <w:trHeight w:val="405" w:hRule="atLeast"/>
          <w:jc w:val="center"/>
        </w:trPr>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9081" w:type="dxa"/>
            <w:gridSpan w:val="8"/>
            <w:tcBorders>
              <w:top w:val="single" w:color="auto" w:sz="4" w:space="0"/>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市污水处理监督中心运行经费</w:t>
            </w:r>
          </w:p>
        </w:tc>
      </w:tr>
      <w:tr>
        <w:tblPrEx>
          <w:tblCellMar>
            <w:top w:w="0" w:type="dxa"/>
            <w:left w:w="108" w:type="dxa"/>
            <w:bottom w:w="0" w:type="dxa"/>
            <w:right w:w="108" w:type="dxa"/>
          </w:tblCellMar>
        </w:tblPrEx>
        <w:trPr>
          <w:trHeight w:val="335" w:hRule="atLeast"/>
          <w:jc w:val="center"/>
        </w:trPr>
        <w:tc>
          <w:tcPr>
            <w:tcW w:w="1046" w:type="dxa"/>
            <w:tcBorders>
              <w:top w:val="nil"/>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688"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岳阳市住房和城乡建设局</w:t>
            </w:r>
          </w:p>
        </w:tc>
        <w:tc>
          <w:tcPr>
            <w:tcW w:w="1209" w:type="dxa"/>
            <w:tcBorders>
              <w:top w:val="single" w:color="auto" w:sz="4" w:space="0"/>
              <w:left w:val="nil"/>
              <w:bottom w:val="single" w:color="auto" w:sz="4" w:space="0"/>
              <w:right w:val="single" w:color="000000"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84" w:type="dxa"/>
            <w:gridSpan w:val="3"/>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岳阳市污水处理监督中心</w:t>
            </w:r>
          </w:p>
        </w:tc>
      </w:tr>
      <w:tr>
        <w:tblPrEx>
          <w:tblCellMar>
            <w:top w:w="0" w:type="dxa"/>
            <w:left w:w="108" w:type="dxa"/>
            <w:bottom w:w="0" w:type="dxa"/>
            <w:right w:w="108" w:type="dxa"/>
          </w:tblCellMar>
        </w:tblPrEx>
        <w:trPr>
          <w:jc w:val="center"/>
        </w:trPr>
        <w:tc>
          <w:tcPr>
            <w:tcW w:w="1046" w:type="dxa"/>
            <w:vMerge w:val="restart"/>
            <w:tcBorders>
              <w:top w:val="nil"/>
              <w:left w:val="single" w:color="auto" w:sz="4" w:space="0"/>
              <w:bottom w:val="single" w:color="000000"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312"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335"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041"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209"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56"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779"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549" w:type="dxa"/>
            <w:tcBorders>
              <w:top w:val="nil"/>
              <w:left w:val="nil"/>
              <w:bottom w:val="single" w:color="auto" w:sz="4" w:space="0"/>
              <w:right w:val="single" w:color="auto" w:sz="4" w:space="0"/>
            </w:tcBorders>
            <w:vAlign w:val="center"/>
          </w:tcPr>
          <w:p>
            <w:pPr>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312"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335"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161.03</w:t>
            </w:r>
          </w:p>
        </w:tc>
        <w:tc>
          <w:tcPr>
            <w:tcW w:w="1041"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161.03</w:t>
            </w:r>
          </w:p>
        </w:tc>
        <w:tc>
          <w:tcPr>
            <w:tcW w:w="120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102.54</w:t>
            </w:r>
          </w:p>
        </w:tc>
        <w:tc>
          <w:tcPr>
            <w:tcW w:w="856"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779" w:type="dxa"/>
            <w:tcBorders>
              <w:top w:val="nil"/>
              <w:left w:val="nil"/>
              <w:bottom w:val="single" w:color="auto" w:sz="4" w:space="0"/>
              <w:right w:val="single" w:color="auto" w:sz="4" w:space="0"/>
            </w:tcBorders>
            <w:vAlign w:val="center"/>
          </w:tcPr>
          <w:p>
            <w:pPr>
              <w:widowControl/>
              <w:spacing w:line="260"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63.68%</w:t>
            </w:r>
          </w:p>
        </w:tc>
        <w:tc>
          <w:tcPr>
            <w:tcW w:w="154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6.37</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312" w:type="dxa"/>
            <w:gridSpan w:val="2"/>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335"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111</w:t>
            </w:r>
          </w:p>
        </w:tc>
        <w:tc>
          <w:tcPr>
            <w:tcW w:w="1041"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111</w:t>
            </w:r>
          </w:p>
        </w:tc>
        <w:tc>
          <w:tcPr>
            <w:tcW w:w="120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62.34</w:t>
            </w:r>
          </w:p>
        </w:tc>
        <w:tc>
          <w:tcPr>
            <w:tcW w:w="856"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779"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549" w:type="dxa"/>
            <w:tcBorders>
              <w:top w:val="nil"/>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312" w:type="dxa"/>
            <w:gridSpan w:val="2"/>
            <w:tcBorders>
              <w:top w:val="nil"/>
              <w:left w:val="nil"/>
              <w:bottom w:val="single" w:color="auto" w:sz="4" w:space="0"/>
              <w:right w:val="single" w:color="auto" w:sz="4" w:space="0"/>
            </w:tcBorders>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335"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50.03</w:t>
            </w:r>
          </w:p>
        </w:tc>
        <w:tc>
          <w:tcPr>
            <w:tcW w:w="1041"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50.03</w:t>
            </w:r>
          </w:p>
        </w:tc>
        <w:tc>
          <w:tcPr>
            <w:tcW w:w="1209" w:type="dxa"/>
            <w:tcBorders>
              <w:top w:val="nil"/>
              <w:left w:val="nil"/>
              <w:bottom w:val="single" w:color="auto" w:sz="4" w:space="0"/>
              <w:right w:val="single" w:color="auto" w:sz="4" w:space="0"/>
            </w:tcBorders>
            <w:vAlign w:val="center"/>
          </w:tcPr>
          <w:p>
            <w:pPr>
              <w:widowControl/>
              <w:spacing w:line="26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40.2</w:t>
            </w:r>
          </w:p>
        </w:tc>
        <w:tc>
          <w:tcPr>
            <w:tcW w:w="85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79"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49"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000000"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2312" w:type="dxa"/>
            <w:gridSpan w:val="2"/>
            <w:tcBorders>
              <w:top w:val="nil"/>
              <w:left w:val="nil"/>
              <w:bottom w:val="single" w:color="auto" w:sz="4" w:space="0"/>
              <w:right w:val="single" w:color="auto" w:sz="4" w:space="0"/>
            </w:tcBorders>
            <w:vAlign w:val="center"/>
          </w:tcPr>
          <w:p>
            <w:pPr>
              <w:widowControl/>
              <w:spacing w:line="260" w:lineRule="exact"/>
              <w:ind w:firstLine="600" w:firstLineChars="3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335"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41"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09"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56"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79"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49" w:type="dxa"/>
            <w:tcBorders>
              <w:top w:val="nil"/>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restart"/>
            <w:tcBorders>
              <w:top w:val="nil"/>
              <w:left w:val="single" w:color="auto" w:sz="4" w:space="0"/>
              <w:bottom w:val="single" w:color="000000"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88" w:type="dxa"/>
            <w:gridSpan w:val="4"/>
            <w:tcBorders>
              <w:top w:val="single" w:color="auto" w:sz="4" w:space="0"/>
              <w:left w:val="nil"/>
              <w:bottom w:val="single" w:color="auto" w:sz="4" w:space="0"/>
              <w:right w:val="single" w:color="000000"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93" w:type="dxa"/>
            <w:gridSpan w:val="4"/>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jc w:val="center"/>
        </w:trPr>
        <w:tc>
          <w:tcPr>
            <w:tcW w:w="1046" w:type="dxa"/>
            <w:vMerge w:val="continue"/>
            <w:tcBorders>
              <w:top w:val="nil"/>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c>
          <w:tcPr>
            <w:tcW w:w="4688" w:type="dxa"/>
            <w:gridSpan w:val="4"/>
            <w:tcBorders>
              <w:top w:val="single" w:color="auto" w:sz="4" w:space="0"/>
              <w:left w:val="nil"/>
              <w:bottom w:val="single" w:color="auto" w:sz="4" w:space="0"/>
              <w:right w:val="single" w:color="000000" w:sz="4" w:space="0"/>
            </w:tcBorders>
            <w:vAlign w:val="center"/>
          </w:tcPr>
          <w:p>
            <w:pPr>
              <w:widowControl/>
              <w:spacing w:line="260" w:lineRule="exact"/>
              <w:ind w:firstLine="400" w:firstLineChars="200"/>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1、对全市污水行业进行有效监管考核； 2、对我市中心城区7家污水处理厂的进、出水和污泥进行监测，使其达标排放； 3、全年有效处置羊角山垃圾渗滤液，确保正常运行及维护； 4、确保桃花源污水初处理站的正常运行及维护，有效处理片区内生活污水，日处理2000立方，避免生活污水直接流入南湖水域，严防造成二次污染； 5、加强对移动污水处理设备的监管力度，加快</w:t>
            </w:r>
            <w:r>
              <w:rPr>
                <w:rFonts w:hint="eastAsia" w:ascii="仿宋_GB2312" w:hAnsi="仿宋_GB2312" w:eastAsia="仿宋_GB2312" w:cs="仿宋_GB2312"/>
                <w:color w:val="000000"/>
                <w:sz w:val="20"/>
                <w:szCs w:val="20"/>
                <w:lang w:val="en-US" w:eastAsia="zh-CN"/>
              </w:rPr>
              <w:t>三峡PPP项目一期运维协议签订，认真推进运营期绩效考核等业务工作</w:t>
            </w:r>
            <w:r>
              <w:rPr>
                <w:rFonts w:hint="eastAsia" w:ascii="仿宋_GB2312" w:hAnsi="仿宋_GB2312" w:eastAsia="仿宋_GB2312" w:cs="仿宋_GB2312"/>
                <w:color w:val="000000"/>
                <w:sz w:val="20"/>
                <w:szCs w:val="20"/>
              </w:rPr>
              <w:t>。</w:t>
            </w:r>
          </w:p>
        </w:tc>
        <w:tc>
          <w:tcPr>
            <w:tcW w:w="4393" w:type="dxa"/>
            <w:gridSpan w:val="4"/>
            <w:tcBorders>
              <w:top w:val="single" w:color="auto" w:sz="4" w:space="0"/>
              <w:left w:val="nil"/>
              <w:bottom w:val="single" w:color="auto" w:sz="4" w:space="0"/>
              <w:right w:val="single" w:color="auto" w:sz="4" w:space="0"/>
            </w:tcBorders>
            <w:vAlign w:val="center"/>
          </w:tcPr>
          <w:p>
            <w:pPr>
              <w:widowControl/>
              <w:spacing w:line="260" w:lineRule="exact"/>
              <w:ind w:firstLine="400" w:firstLineChars="200"/>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1、对全市污水行业进行了有效监管考核； 2、对我市中心城区7家污水处理厂的进、出水和污泥进行监测，使其达标排放； 3、全年有效处置羊角山垃圾渗滤液，确保正常运行及维护； 4、确保桃花源污水初处理站的正常运行及维护，有效处理片区内生活污水，日处理2000立方，避免生活污水直接流入南湖水域，严防造成二次污染； 5、加强对移动污水处理设备的监管力度，加快</w:t>
            </w:r>
            <w:r>
              <w:rPr>
                <w:rFonts w:hint="eastAsia" w:ascii="仿宋_GB2312" w:hAnsi="仿宋_GB2312" w:eastAsia="仿宋_GB2312" w:cs="仿宋_GB2312"/>
                <w:color w:val="000000"/>
                <w:sz w:val="20"/>
                <w:szCs w:val="20"/>
                <w:lang w:val="en-US" w:eastAsia="zh-CN"/>
              </w:rPr>
              <w:t>三峡PPP项目一期运维协议签订，认真推进运营期绩效考核等业务工作</w:t>
            </w:r>
            <w:r>
              <w:rPr>
                <w:rFonts w:hint="eastAsia" w:ascii="仿宋_GB2312" w:hAnsi="仿宋_GB2312" w:eastAsia="仿宋_GB2312" w:cs="仿宋_GB2312"/>
                <w:color w:val="000000"/>
                <w:sz w:val="20"/>
                <w:szCs w:val="20"/>
              </w:rPr>
              <w:t>。</w:t>
            </w:r>
          </w:p>
        </w:tc>
      </w:tr>
      <w:tr>
        <w:tblPrEx>
          <w:tblCellMar>
            <w:top w:w="0" w:type="dxa"/>
            <w:left w:w="108" w:type="dxa"/>
            <w:bottom w:w="0" w:type="dxa"/>
            <w:right w:w="108" w:type="dxa"/>
          </w:tblCellMar>
        </w:tblPrEx>
        <w:trPr>
          <w:jc w:val="center"/>
        </w:trPr>
        <w:tc>
          <w:tcPr>
            <w:tcW w:w="104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33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60" w:lineRule="exact"/>
              <w:jc w:val="center"/>
              <w:rPr>
                <w:rFonts w:ascii="仿宋_GB2312" w:hAnsi="仿宋_GB2312" w:eastAsia="仿宋_GB2312" w:cs="仿宋_GB2312"/>
                <w:color w:val="000000"/>
                <w:sz w:val="20"/>
                <w:szCs w:val="20"/>
              </w:rPr>
            </w:pP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对我市中心城区投入运行的污水处理厂的进、出水和污泥进行抽样检测</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污水厂数量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7家</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480" w:hRule="atLeast"/>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hAnsi="仿宋_GB2312" w:eastAsia="仿宋_GB2312" w:cs="仿宋_GB2312"/>
                <w:color w:val="000000"/>
                <w:sz w:val="20"/>
                <w:szCs w:val="20"/>
              </w:rPr>
            </w:pP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污水初处理站日处理量</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按水量</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处理</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按水量</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处理</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70" w:hRule="atLeast"/>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监管移动污水处理设备</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移动污水处理设备数量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2处</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35" w:hRule="atLeast"/>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羊角山垃圾渗滤液日处置量</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按渗滤液量处理</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按渗滤液量处理</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污水初处理站满足《城镇污水处理厂污染物排放标准》</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GB18919-</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2008</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全年按标准排放</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center"/>
              <w:rPr>
                <w:rFonts w:ascii="仿宋_GB2312" w:hAnsi="仿宋_GB2312" w:eastAsia="仿宋_GB2312" w:cs="仿宋_GB2312"/>
                <w:color w:val="000000"/>
                <w:sz w:val="20"/>
                <w:szCs w:val="20"/>
              </w:rPr>
            </w:pP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污水处理厂污染物排放达标率</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100%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羊角山垃圾渗滤液处置达标率</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100%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640" w:hRule="atLeast"/>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按时完成</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当年任务</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202</w:t>
            </w:r>
            <w:r>
              <w:rPr>
                <w:rFonts w:hint="eastAsia" w:ascii="仿宋_GB2312" w:hAnsi="仿宋_GB2312" w:eastAsia="仿宋_GB2312" w:cs="仿宋_GB2312"/>
                <w:color w:val="000000"/>
                <w:sz w:val="20"/>
                <w:szCs w:val="20"/>
                <w:lang w:val="en-US" w:eastAsia="zh-CN"/>
              </w:rPr>
              <w:t>5</w:t>
            </w:r>
          </w:p>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年底前</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2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202</w:t>
            </w: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年底前</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790" w:hRule="atLeast"/>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控制在预算</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范围内</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161.03</w:t>
            </w:r>
            <w:r>
              <w:rPr>
                <w:rFonts w:hint="eastAsia" w:ascii="仿宋_GB2312" w:hAnsi="仿宋_GB2312" w:eastAsia="仿宋_GB2312" w:cs="仿宋_GB2312"/>
                <w:color w:val="000000"/>
                <w:sz w:val="20"/>
                <w:szCs w:val="20"/>
              </w:rPr>
              <w:t>万元</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102.54</w:t>
            </w:r>
            <w:r>
              <w:rPr>
                <w:rFonts w:hint="eastAsia" w:ascii="仿宋_GB2312" w:hAnsi="仿宋_GB2312" w:eastAsia="仿宋_GB2312" w:cs="仿宋_GB2312"/>
                <w:color w:val="000000"/>
                <w:sz w:val="20"/>
                <w:szCs w:val="20"/>
              </w:rPr>
              <w:t>万元</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5</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4</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60" w:lineRule="exact"/>
              <w:jc w:val="left"/>
              <w:rPr>
                <w:rFonts w:ascii="仿宋_GB2312" w:hAnsi="仿宋_GB2312" w:eastAsia="仿宋_GB2312" w:cs="仿宋_GB2312"/>
                <w:color w:val="000000"/>
                <w:sz w:val="20"/>
                <w:szCs w:val="20"/>
              </w:rPr>
            </w:pP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本项目为监督污水处理厂正常运行，达标排放的公益项目，为减少全市的污染物排放，非以盈利为目的</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公益项目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公益项目　</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改善社会</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人居环境</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有效改善</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有效改善</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改善岳阳</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水生态环境</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有所改善</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ind w:firstLine="200" w:firstLineChars="100"/>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54" w:hRule="atLeast"/>
          <w:jc w:val="center"/>
        </w:trPr>
        <w:tc>
          <w:tcPr>
            <w:tcW w:w="1046" w:type="dxa"/>
            <w:vMerge w:val="continue"/>
            <w:tcBorders>
              <w:top w:val="single" w:color="auto" w:sz="4" w:space="0"/>
              <w:left w:val="single" w:color="auto" w:sz="4" w:space="0"/>
              <w:bottom w:val="single" w:color="auto" w:sz="4" w:space="0"/>
              <w:right w:val="single" w:color="auto" w:sz="4" w:space="0"/>
            </w:tcBorders>
            <w:vAlign w:val="center"/>
          </w:tcPr>
          <w:p>
            <w:pPr>
              <w:spacing w:line="260" w:lineRule="exact"/>
              <w:jc w:val="left"/>
              <w:rPr>
                <w:rFonts w:ascii="仿宋_GB2312" w:hAnsi="仿宋_GB2312" w:eastAsia="仿宋_GB2312" w:cs="仿宋_GB2312"/>
                <w:color w:val="000000"/>
                <w:sz w:val="20"/>
                <w:szCs w:val="20"/>
              </w:rPr>
            </w:pPr>
          </w:p>
        </w:tc>
        <w:tc>
          <w:tcPr>
            <w:tcW w:w="1337"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335"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受益对象及监管单位满意度</w:t>
            </w:r>
          </w:p>
        </w:tc>
        <w:tc>
          <w:tcPr>
            <w:tcW w:w="1041"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90%以上</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90%以上</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943" w:type="dxa"/>
            <w:gridSpan w:val="6"/>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56"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77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93.37</w:t>
            </w:r>
          </w:p>
        </w:tc>
        <w:tc>
          <w:tcPr>
            <w:tcW w:w="1549"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ascii="Times New Roman" w:hAnsi="Times New Roman" w:eastAsia="仿宋_GB2312"/>
          <w:sz w:val="18"/>
          <w:szCs w:val="18"/>
        </w:rPr>
      </w:pPr>
    </w:p>
    <w:p>
      <w:pPr>
        <w:rPr>
          <w:rFonts w:hint="eastAsia" w:ascii="Times New Roman" w:hAnsi="Times New Roman" w:eastAsia="仿宋_GB2312"/>
          <w:sz w:val="18"/>
          <w:szCs w:val="18"/>
        </w:rPr>
      </w:pPr>
      <w:r>
        <w:rPr>
          <w:rFonts w:ascii="Times New Roman" w:hAnsi="Times New Roman" w:eastAsia="仿宋_GB2312"/>
          <w:sz w:val="18"/>
          <w:szCs w:val="18"/>
        </w:rPr>
        <w:t>备注：一个一级项目支出一张表。</w:t>
      </w:r>
      <w:r>
        <w:rPr>
          <w:rFonts w:hint="eastAsia" w:ascii="Times New Roman" w:hAnsi="Times New Roman" w:eastAsia="仿宋_GB2312"/>
          <w:sz w:val="18"/>
          <w:szCs w:val="18"/>
        </w:rPr>
        <w:t>如，</w:t>
      </w:r>
      <w:r>
        <w:rPr>
          <w:rFonts w:ascii="Times New Roman" w:hAnsi="Times New Roman" w:eastAsia="仿宋_GB2312"/>
          <w:sz w:val="18"/>
          <w:szCs w:val="18"/>
        </w:rPr>
        <w:t>业务工作经费</w:t>
      </w:r>
      <w:r>
        <w:rPr>
          <w:rFonts w:hint="eastAsia" w:ascii="Times New Roman" w:hAnsi="Times New Roman" w:eastAsia="仿宋_GB2312"/>
          <w:sz w:val="18"/>
          <w:szCs w:val="18"/>
        </w:rPr>
        <w:t>，</w:t>
      </w:r>
      <w:r>
        <w:rPr>
          <w:rFonts w:ascii="Times New Roman" w:hAnsi="Times New Roman" w:eastAsia="仿宋_GB2312"/>
          <w:sz w:val="18"/>
          <w:szCs w:val="18"/>
        </w:rPr>
        <w:t>运行维护经费</w:t>
      </w:r>
      <w:r>
        <w:rPr>
          <w:rFonts w:hint="eastAsia" w:ascii="Times New Roman" w:hAnsi="Times New Roman" w:eastAsia="仿宋_GB2312"/>
          <w:sz w:val="18"/>
          <w:szCs w:val="18"/>
        </w:rPr>
        <w:t>，其他事业发展类资金…各一张表。</w:t>
      </w:r>
    </w:p>
    <w:p>
      <w:pPr>
        <w:pStyle w:val="4"/>
        <w:keepNext w:val="0"/>
        <w:keepLines/>
        <w:pageBreakBefore w:val="0"/>
        <w:widowControl w:val="0"/>
        <w:kinsoku/>
        <w:wordWrap/>
        <w:overflowPunct/>
        <w:topLinePunct w:val="0"/>
        <w:autoSpaceDE/>
        <w:autoSpaceDN/>
        <w:bidi w:val="0"/>
        <w:adjustRightInd/>
        <w:snapToGrid/>
        <w:spacing w:line="240" w:lineRule="exact"/>
        <w:textAlignment w:val="auto"/>
      </w:pPr>
    </w:p>
    <w:p>
      <w:r>
        <w:rPr>
          <w:rFonts w:ascii="Times New Roman" w:hAnsi="Times New Roman" w:eastAsia="仿宋_GB2312"/>
          <w:sz w:val="22"/>
          <w:szCs w:val="22"/>
        </w:rPr>
        <w:t>填表人：</w:t>
      </w:r>
      <w:r>
        <w:rPr>
          <w:rFonts w:hint="eastAsia" w:ascii="Times New Roman" w:hAnsi="Times New Roman" w:eastAsia="仿宋_GB2312"/>
          <w:sz w:val="22"/>
          <w:szCs w:val="22"/>
        </w:rPr>
        <w:t>李枚</w:t>
      </w:r>
      <w:r>
        <w:rPr>
          <w:rFonts w:ascii="Times New Roman" w:hAnsi="Times New Roman" w:eastAsia="仿宋_GB2312"/>
          <w:sz w:val="22"/>
          <w:szCs w:val="22"/>
        </w:rPr>
        <w:t xml:space="preserve"> 填报日期：</w:t>
      </w:r>
      <w:r>
        <w:rPr>
          <w:rFonts w:hint="eastAsia" w:ascii="Times New Roman" w:hAnsi="Times New Roman" w:eastAsia="仿宋_GB2312"/>
          <w:sz w:val="22"/>
          <w:szCs w:val="22"/>
          <w:lang w:val="en-US" w:eastAsia="zh-CN"/>
        </w:rPr>
        <w:t>5</w:t>
      </w:r>
      <w:r>
        <w:rPr>
          <w:rFonts w:hint="eastAsia" w:ascii="Times New Roman" w:hAnsi="Times New Roman" w:eastAsia="仿宋_GB2312"/>
          <w:sz w:val="22"/>
          <w:szCs w:val="22"/>
        </w:rPr>
        <w:t>月</w:t>
      </w:r>
      <w:r>
        <w:rPr>
          <w:rFonts w:hint="eastAsia" w:ascii="Times New Roman" w:hAnsi="Times New Roman" w:eastAsia="仿宋_GB2312"/>
          <w:sz w:val="22"/>
          <w:szCs w:val="22"/>
          <w:lang w:val="en-US" w:eastAsia="zh-CN"/>
        </w:rPr>
        <w:t>12</w:t>
      </w:r>
      <w:r>
        <w:rPr>
          <w:rFonts w:hint="eastAsia" w:ascii="Times New Roman" w:hAnsi="Times New Roman" w:eastAsia="仿宋_GB2312"/>
          <w:sz w:val="22"/>
          <w:szCs w:val="22"/>
        </w:rPr>
        <w:t xml:space="preserve">日 </w:t>
      </w:r>
      <w:r>
        <w:rPr>
          <w:rFonts w:ascii="Times New Roman" w:hAnsi="Times New Roman" w:eastAsia="仿宋_GB2312"/>
          <w:sz w:val="22"/>
          <w:szCs w:val="22"/>
        </w:rPr>
        <w:t>联系电话：</w:t>
      </w:r>
      <w:r>
        <w:rPr>
          <w:rFonts w:hint="eastAsia" w:ascii="Times New Roman" w:hAnsi="Times New Roman" w:eastAsia="仿宋_GB2312"/>
          <w:sz w:val="22"/>
          <w:szCs w:val="22"/>
        </w:rPr>
        <w:t xml:space="preserve">13873096607  </w:t>
      </w:r>
      <w:r>
        <w:rPr>
          <w:rFonts w:ascii="Times New Roman" w:hAnsi="Times New Roman" w:eastAsia="仿宋_GB2312"/>
          <w:sz w:val="22"/>
          <w:szCs w:val="22"/>
        </w:rPr>
        <w:t>单位负责人签字：</w:t>
      </w:r>
    </w:p>
    <w:p>
      <w:pPr>
        <w:widowControl/>
        <w:spacing w:line="600" w:lineRule="exact"/>
        <w:jc w:val="left"/>
        <w:rPr>
          <w:rFonts w:hint="eastAsia" w:ascii="黑体" w:hAnsi="黑体" w:eastAsia="黑体" w:cs="黑体"/>
          <w:sz w:val="32"/>
          <w:szCs w:val="32"/>
          <w:highlight w:val="none"/>
        </w:rPr>
      </w:pPr>
    </w:p>
    <w:p>
      <w:pPr>
        <w:rPr>
          <w:rFonts w:hint="eastAsia" w:ascii="黑体" w:hAnsi="黑体" w:eastAsia="黑体" w:cs="黑体"/>
          <w:sz w:val="32"/>
          <w:szCs w:val="32"/>
          <w:highlight w:val="none"/>
        </w:rPr>
      </w:pPr>
      <w:r>
        <w:rPr>
          <w:rFonts w:hint="eastAsia" w:ascii="黑体" w:hAnsi="黑体" w:eastAsia="黑体" w:cs="黑体"/>
          <w:sz w:val="32"/>
          <w:szCs w:val="32"/>
          <w:highlight w:val="none"/>
        </w:rPr>
        <w:br w:type="page"/>
      </w:r>
    </w:p>
    <w:p>
      <w:pPr>
        <w:widowControl/>
        <w:spacing w:line="600" w:lineRule="exact"/>
        <w:jc w:val="left"/>
        <w:rPr>
          <w:rFonts w:hint="default" w:ascii="Times New Roman" w:hAnsi="Times New Roman" w:eastAsia="黑体" w:cs="Times New Roman"/>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3-23</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fixed"/>
        <w:tblCellMar>
          <w:top w:w="0" w:type="dxa"/>
          <w:left w:w="108" w:type="dxa"/>
          <w:bottom w:w="0" w:type="dxa"/>
          <w:right w:w="108" w:type="dxa"/>
        </w:tblCellMar>
      </w:tblPr>
      <w:tblGrid>
        <w:gridCol w:w="895"/>
        <w:gridCol w:w="161"/>
        <w:gridCol w:w="1189"/>
        <w:gridCol w:w="975"/>
        <w:gridCol w:w="1320"/>
        <w:gridCol w:w="1036"/>
        <w:gridCol w:w="1216"/>
        <w:gridCol w:w="883"/>
        <w:gridCol w:w="799"/>
        <w:gridCol w:w="1377"/>
      </w:tblGrid>
      <w:tr>
        <w:tblPrEx>
          <w:tblCellMar>
            <w:top w:w="0" w:type="dxa"/>
            <w:left w:w="108" w:type="dxa"/>
            <w:bottom w:w="0" w:type="dxa"/>
            <w:right w:w="108" w:type="dxa"/>
          </w:tblCellMar>
        </w:tblPrEx>
        <w:trPr>
          <w:jc w:val="center"/>
        </w:trPr>
        <w:tc>
          <w:tcPr>
            <w:tcW w:w="8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956" w:type="dxa"/>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城市管网及污水处理补助</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污水处理监控系统</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20"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岳阳市住房和城乡建设局</w:t>
            </w:r>
          </w:p>
        </w:tc>
        <w:tc>
          <w:tcPr>
            <w:tcW w:w="1216"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5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岳阳市污水处理监督中心</w:t>
            </w:r>
          </w:p>
        </w:tc>
      </w:tr>
      <w:tr>
        <w:tblPrEx>
          <w:tblCellMar>
            <w:top w:w="0" w:type="dxa"/>
            <w:left w:w="108" w:type="dxa"/>
            <w:bottom w:w="0" w:type="dxa"/>
            <w:right w:w="108" w:type="dxa"/>
          </w:tblCellMar>
        </w:tblPrEx>
        <w:trPr>
          <w:jc w:val="center"/>
        </w:trPr>
        <w:tc>
          <w:tcPr>
            <w:tcW w:w="1056"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8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79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056"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40.25</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40.25</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w:t>
            </w:r>
          </w:p>
        </w:tc>
        <w:tc>
          <w:tcPr>
            <w:tcW w:w="88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7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5.96%</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0.6</w:t>
            </w:r>
          </w:p>
        </w:tc>
      </w:tr>
      <w:tr>
        <w:tblPrEx>
          <w:tblCellMar>
            <w:top w:w="0" w:type="dxa"/>
            <w:left w:w="108" w:type="dxa"/>
            <w:bottom w:w="0" w:type="dxa"/>
            <w:right w:w="108" w:type="dxa"/>
          </w:tblCellMar>
        </w:tblPrEx>
        <w:trPr>
          <w:jc w:val="center"/>
        </w:trPr>
        <w:tc>
          <w:tcPr>
            <w:tcW w:w="1056"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4"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32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7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20"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56" w:type="dxa"/>
            <w:gridSpan w:val="2"/>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20"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通过整合工业自控技术、物联网技术、视频监控技术、移动互联技术等信息化技术，搭建污水厂工况数据采集系统和实时视频监控系统，构建全面覆盖、实时监管、信息齐全、稳定便捷的业务应用管理平台，实现对岳阳市城镇污水处理厂污水处理过程的远程化、实时化、可视化监管。</w:t>
            </w:r>
          </w:p>
        </w:tc>
        <w:tc>
          <w:tcPr>
            <w:tcW w:w="427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为优化对污水处理厂日常运营监管模式，实现污水处理行业监管的信息化、规范化、可视化，根据《岳阳市智慧城市整体特许经营项目政府采购合同》和《关于对岳阳市污水处理监督系统项目建设方案的审核意见》，“岳阳市污水处理监督系统项目”由岳阳市交投智慧城市开发有限公司实施建设。于2023年7月10日开工建设，2023年8月，收到市财政下达监测平台一期—污水处理监管平台系统专项资金360万元，11月20日通过初步验收进入试运行阶段，2024年5月24日完成竣工验收，全市（县、区）17家污水处理厂已全部纳入平台监管，目前监控平台系统在全市污水处理行业监管工作中正发挥着重要作用。2024年，根据项目进度及合同约定合计支付监测平台一期—污水处理监管平台系统专项资金123.13万元。</w:t>
            </w:r>
            <w:r>
              <w:rPr>
                <w:rFonts w:hint="eastAsia" w:ascii="仿宋_GB2312" w:hAnsi="仿宋_GB2312" w:eastAsia="仿宋_GB2312" w:cs="仿宋_GB2312"/>
                <w:color w:val="000000"/>
                <w:sz w:val="20"/>
                <w:szCs w:val="20"/>
                <w:highlight w:val="none"/>
                <w:lang w:val="en-US" w:eastAsia="zh-CN"/>
              </w:rPr>
              <w:t>2025年，</w:t>
            </w:r>
            <w:r>
              <w:rPr>
                <w:rFonts w:hint="eastAsia" w:ascii="仿宋_GB2312" w:hAnsi="仿宋_GB2312" w:eastAsia="仿宋_GB2312" w:cs="仿宋_GB2312"/>
                <w:color w:val="000000"/>
                <w:sz w:val="20"/>
                <w:szCs w:val="20"/>
                <w:highlight w:val="none"/>
              </w:rPr>
              <w:t>根据项目进度及合同约定合计支付监测平台一期—污水处理监管平台系统专项资金</w:t>
            </w:r>
            <w:r>
              <w:rPr>
                <w:rFonts w:hint="eastAsia" w:ascii="仿宋_GB2312" w:hAnsi="仿宋_GB2312" w:eastAsia="仿宋_GB2312" w:cs="仿宋_GB2312"/>
                <w:color w:val="000000"/>
                <w:sz w:val="20"/>
                <w:szCs w:val="20"/>
                <w:highlight w:val="none"/>
                <w:lang w:val="en-US" w:eastAsia="zh-CN"/>
              </w:rPr>
              <w:t>2.4</w:t>
            </w:r>
            <w:r>
              <w:rPr>
                <w:rFonts w:hint="eastAsia" w:ascii="仿宋_GB2312" w:hAnsi="仿宋_GB2312" w:eastAsia="仿宋_GB2312" w:cs="仿宋_GB2312"/>
                <w:color w:val="000000"/>
                <w:sz w:val="20"/>
                <w:szCs w:val="20"/>
                <w:highlight w:val="none"/>
              </w:rPr>
              <w:t>万元。</w:t>
            </w:r>
          </w:p>
        </w:tc>
      </w:tr>
      <w:tr>
        <w:tblPrEx>
          <w:tblCellMar>
            <w:top w:w="0" w:type="dxa"/>
            <w:left w:w="108" w:type="dxa"/>
            <w:bottom w:w="0" w:type="dxa"/>
            <w:right w:w="108" w:type="dxa"/>
          </w:tblCellMar>
        </w:tblPrEx>
        <w:trPr>
          <w:jc w:val="center"/>
        </w:trPr>
        <w:tc>
          <w:tcPr>
            <w:tcW w:w="105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对岳阳市城镇污水处理厂污水处理过程进行远程化、实时化、可视化监控</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17家</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17家</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对各污水处理厂进行有效监管及评价</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有效监管</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有效监管</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按时按成当年任务</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63" w:hRule="atLeast"/>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控制在预算范围内</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40.25万元</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2.4万元</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18"/>
                <w:szCs w:val="18"/>
                <w:highlight w:val="none"/>
                <w:lang w:val="en-US" w:eastAsia="zh-CN"/>
              </w:rPr>
              <w:t>按照项目进度及合同约定支付项目资金</w:t>
            </w:r>
          </w:p>
        </w:tc>
      </w:tr>
      <w:tr>
        <w:tblPrEx>
          <w:tblCellMar>
            <w:top w:w="0" w:type="dxa"/>
            <w:left w:w="108" w:type="dxa"/>
            <w:bottom w:w="0" w:type="dxa"/>
            <w:right w:w="108" w:type="dxa"/>
          </w:tblCellMar>
        </w:tblPrEx>
        <w:trPr>
          <w:trHeight w:val="571" w:hRule="atLeast"/>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18"/>
                <w:szCs w:val="18"/>
              </w:rPr>
              <w:t>对社会发展可能造成的负面影响</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219" w:hRule="atLeast"/>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对自然环境生态环境可能造成的负面影响</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无负面影响</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提升污水处理监管水平，降低监管成本</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有所降低</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0"/>
                <w:sz w:val="18"/>
                <w:szCs w:val="24"/>
                <w:lang w:val="en-US" w:eastAsia="zh-CN" w:bidi="ar-SA"/>
              </w:rPr>
            </w:pPr>
            <w:r>
              <w:rPr>
                <w:rFonts w:hint="eastAsia" w:ascii="仿宋_GB2312" w:hAnsi="仿宋_GB2312" w:eastAsia="仿宋_GB2312" w:cs="仿宋_GB2312"/>
                <w:sz w:val="18"/>
                <w:szCs w:val="18"/>
              </w:rPr>
              <w:t>有所降低</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提升管理效率，整合污水处理数据资源，促进岳阳市智慧城市的发展</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有所促进</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kern w:val="0"/>
                <w:sz w:val="18"/>
                <w:szCs w:val="24"/>
                <w:lang w:val="en-US" w:eastAsia="zh-CN" w:bidi="ar-SA"/>
              </w:rPr>
            </w:pPr>
            <w:r>
              <w:rPr>
                <w:rFonts w:hint="eastAsia" w:ascii="仿宋_GB2312" w:hAnsi="仿宋_GB2312" w:eastAsia="仿宋_GB2312" w:cs="仿宋_GB2312"/>
                <w:sz w:val="18"/>
                <w:szCs w:val="18"/>
              </w:rPr>
              <w:t>有所促进</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改善岳阳水生态环境</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有所改善</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kern w:val="0"/>
                <w:sz w:val="18"/>
                <w:szCs w:val="24"/>
                <w:lang w:val="en-US" w:eastAsia="zh-CN" w:bidi="ar-SA"/>
              </w:rPr>
            </w:pPr>
            <w:r>
              <w:rPr>
                <w:rFonts w:hint="eastAsia" w:ascii="仿宋_GB2312" w:hAnsi="仿宋_GB2312" w:eastAsia="仿宋_GB2312" w:cs="仿宋_GB2312"/>
                <w:sz w:val="18"/>
                <w:szCs w:val="18"/>
              </w:rPr>
              <w:t>有所改善</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监管单位满意度</w:t>
            </w:r>
          </w:p>
        </w:tc>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仿宋_GB2312" w:hAnsi="仿宋_GB2312" w:eastAsia="仿宋_GB2312" w:cs="仿宋_GB2312"/>
                <w:snapToGrid w:val="0"/>
                <w:color w:val="000000"/>
                <w:kern w:val="0"/>
                <w:sz w:val="18"/>
                <w:szCs w:val="18"/>
                <w:lang w:val="en-US" w:eastAsia="en-US" w:bidi="ar-SA"/>
              </w:rPr>
            </w:pPr>
            <w:r>
              <w:rPr>
                <w:rFonts w:hint="eastAsia" w:ascii="仿宋_GB2312" w:hAnsi="仿宋_GB2312" w:eastAsia="仿宋_GB2312" w:cs="仿宋_GB2312"/>
                <w:sz w:val="18"/>
                <w:szCs w:val="18"/>
              </w:rPr>
              <w:t>≥90%</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仿宋_GB2312" w:hAnsi="仿宋_GB2312" w:eastAsia="仿宋_GB2312" w:cs="仿宋_GB2312"/>
                <w:kern w:val="0"/>
                <w:sz w:val="19"/>
                <w:szCs w:val="24"/>
                <w:lang w:val="en-US" w:eastAsia="zh-CN" w:bidi="ar-SA"/>
              </w:rPr>
            </w:pPr>
            <w:r>
              <w:rPr>
                <w:rFonts w:hint="eastAsia" w:ascii="仿宋_GB2312" w:hAnsi="仿宋_GB2312" w:eastAsia="仿宋_GB2312" w:cs="仿宋_GB2312"/>
                <w:sz w:val="18"/>
                <w:szCs w:val="18"/>
              </w:rPr>
              <w:t>≥90%</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92"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87.6</w:t>
            </w:r>
          </w:p>
        </w:tc>
        <w:tc>
          <w:tcPr>
            <w:tcW w:w="137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rPr>
          <w:rFonts w:hint="default" w:ascii="Times New Roman" w:hAnsi="Times New Roman" w:eastAsia="仿宋_GB2312" w:cs="Times New Roman"/>
          <w:sz w:val="18"/>
          <w:szCs w:val="18"/>
          <w:highlight w:val="none"/>
        </w:rPr>
      </w:pPr>
    </w:p>
    <w:p>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pStyle w:val="4"/>
        <w:keepNext w:val="0"/>
        <w:keepLines/>
        <w:pageBreakBefore w:val="0"/>
        <w:widowControl w:val="0"/>
        <w:kinsoku/>
        <w:wordWrap/>
        <w:overflowPunct/>
        <w:topLinePunct w:val="0"/>
        <w:autoSpaceDE/>
        <w:autoSpaceDN/>
        <w:bidi w:val="0"/>
        <w:adjustRightInd/>
        <w:snapToGrid/>
        <w:spacing w:line="240" w:lineRule="exact"/>
        <w:textAlignment w:val="auto"/>
        <w:rPr>
          <w:rFonts w:hint="default"/>
        </w:rPr>
      </w:pPr>
    </w:p>
    <w:p>
      <w:pPr>
        <w:rPr>
          <w:rFonts w:ascii="Times New Roman" w:hAnsi="Times New Roman" w:eastAsia="仿宋_GB2312"/>
          <w:sz w:val="22"/>
          <w:szCs w:val="22"/>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 xml:space="preserve">李枚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eastAsia="zh-CN"/>
        </w:rPr>
        <w:t>：</w:t>
      </w:r>
      <w:r>
        <w:rPr>
          <w:rFonts w:hint="eastAsia" w:ascii="Times New Roman" w:hAnsi="Times New Roman" w:eastAsia="仿宋_GB2312" w:cs="Times New Roman"/>
          <w:sz w:val="22"/>
          <w:szCs w:val="22"/>
          <w:lang w:val="en-US" w:eastAsia="zh-CN"/>
        </w:rPr>
        <w:t xml:space="preserve">5月12日 </w:t>
      </w:r>
      <w:r>
        <w:rPr>
          <w:rFonts w:hint="default" w:ascii="Times New Roman" w:hAnsi="Times New Roman" w:eastAsia="仿宋_GB2312" w:cs="Times New Roman"/>
          <w:sz w:val="22"/>
          <w:szCs w:val="22"/>
        </w:rPr>
        <w:t>联系电话：</w:t>
      </w:r>
      <w:r>
        <w:rPr>
          <w:rFonts w:hint="eastAsia" w:ascii="Times New Roman" w:hAnsi="Times New Roman" w:eastAsia="仿宋_GB2312" w:cs="Times New Roman"/>
          <w:sz w:val="22"/>
          <w:szCs w:val="22"/>
          <w:lang w:val="en-US" w:eastAsia="zh-CN"/>
        </w:rPr>
        <w:t xml:space="preserve">13873096607  </w:t>
      </w:r>
      <w:r>
        <w:rPr>
          <w:rFonts w:hint="default" w:ascii="Times New Roman" w:hAnsi="Times New Roman" w:eastAsia="仿宋_GB2312" w:cs="Times New Roman"/>
          <w:sz w:val="22"/>
          <w:szCs w:val="22"/>
        </w:rPr>
        <w:t>单位负责人签字：</w:t>
      </w:r>
    </w:p>
    <w:p>
      <w:r>
        <w:br w:type="page"/>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3-24</w:t>
      </w:r>
    </w:p>
    <w:p>
      <w:pPr>
        <w:pStyle w:val="4"/>
        <w:keepNext w:val="0"/>
        <w:keepLines/>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fixed"/>
        <w:tblCellMar>
          <w:top w:w="0" w:type="dxa"/>
          <w:left w:w="108" w:type="dxa"/>
          <w:bottom w:w="0" w:type="dxa"/>
          <w:right w:w="108" w:type="dxa"/>
        </w:tblCellMar>
      </w:tblPr>
      <w:tblGrid>
        <w:gridCol w:w="1045"/>
        <w:gridCol w:w="1200"/>
        <w:gridCol w:w="960"/>
        <w:gridCol w:w="1335"/>
        <w:gridCol w:w="1058"/>
        <w:gridCol w:w="1192"/>
        <w:gridCol w:w="885"/>
        <w:gridCol w:w="758"/>
        <w:gridCol w:w="1418"/>
      </w:tblGrid>
      <w:tr>
        <w:tblPrEx>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806"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日常工作经费　</w:t>
            </w:r>
          </w:p>
        </w:tc>
      </w:tr>
      <w:tr>
        <w:tblPrEx>
          <w:tblCellMar>
            <w:top w:w="0" w:type="dxa"/>
            <w:left w:w="108" w:type="dxa"/>
            <w:bottom w:w="0" w:type="dxa"/>
            <w:right w:w="108" w:type="dxa"/>
          </w:tblCellMar>
        </w:tblPrEx>
        <w:trPr>
          <w:jc w:val="center"/>
        </w:trPr>
        <w:tc>
          <w:tcPr>
            <w:tcW w:w="104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岳阳市住房和城乡建设局</w:t>
            </w:r>
          </w:p>
        </w:tc>
        <w:tc>
          <w:tcPr>
            <w:tcW w:w="1192"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实施单位</w:t>
            </w:r>
          </w:p>
        </w:tc>
        <w:tc>
          <w:tcPr>
            <w:tcW w:w="3061"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岳阳市绿色建筑产业发展服务中心</w:t>
            </w:r>
          </w:p>
        </w:tc>
      </w:tr>
      <w:tr>
        <w:tblPrEx>
          <w:tblCellMar>
            <w:top w:w="0" w:type="dxa"/>
            <w:left w:w="108" w:type="dxa"/>
            <w:bottom w:w="0" w:type="dxa"/>
            <w:right w:w="108" w:type="dxa"/>
          </w:tblCellMar>
        </w:tblPrEx>
        <w:trPr>
          <w:jc w:val="center"/>
        </w:trPr>
        <w:tc>
          <w:tcPr>
            <w:tcW w:w="1045"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预算数</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预算数</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执行数</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分值</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得分</w:t>
            </w:r>
          </w:p>
        </w:tc>
      </w:tr>
      <w:tr>
        <w:tblPrEx>
          <w:tblCellMar>
            <w:top w:w="0" w:type="dxa"/>
            <w:left w:w="108" w:type="dxa"/>
            <w:bottom w:w="0" w:type="dxa"/>
            <w:right w:w="108" w:type="dxa"/>
          </w:tblCellMar>
        </w:tblPrEx>
        <w:trPr>
          <w:jc w:val="center"/>
        </w:trPr>
        <w:tc>
          <w:tcPr>
            <w:tcW w:w="104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年度资金总额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21.55</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21.55</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20.68</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10</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95.91%</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95.91</w:t>
            </w:r>
          </w:p>
        </w:tc>
      </w:tr>
      <w:tr>
        <w:tblPrEx>
          <w:tblCellMar>
            <w:top w:w="0" w:type="dxa"/>
            <w:left w:w="108" w:type="dxa"/>
            <w:bottom w:w="0" w:type="dxa"/>
            <w:right w:w="108" w:type="dxa"/>
          </w:tblCellMar>
        </w:tblPrEx>
        <w:trPr>
          <w:jc w:val="center"/>
        </w:trPr>
        <w:tc>
          <w:tcPr>
            <w:tcW w:w="104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其中：当年财政拨款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20</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19.13</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4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上年结转资金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1.55</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1.55</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1.55</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45"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其他资金</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88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45"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53"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045"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53"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根据市委、市政府部署，岳阳市绿色建筑产业发展服务中心具体实施绿色建材推广工作，新型墙体材料、预拌砂浆、预拌混凝土、装配式建筑部品部件、节能防水等绿色建材生产企业监管和产品抽检、项目星级评定；</w:t>
            </w:r>
            <w:r>
              <w:rPr>
                <w:rFonts w:hint="eastAsia" w:ascii="仿宋_GB2312" w:hAnsi="仿宋_GB2312" w:eastAsia="仿宋_GB2312" w:cs="仿宋_GB2312"/>
                <w:color w:val="000000"/>
                <w:sz w:val="20"/>
                <w:szCs w:val="20"/>
                <w:highlight w:val="none"/>
              </w:rPr>
              <w:t>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全年完成10家新型墙材企业认证、13个产品认定，为6家预拌砂浆生产企业办理实验室换证，组织28人参加省厅预拌砂浆实验室人员培训，为36家企业的60个产品（材料）提供上门质量检测服务，</w:t>
            </w:r>
          </w:p>
        </w:tc>
      </w:tr>
      <w:tr>
        <w:tblPrEx>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375" w:hRule="atLeast"/>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9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新型墙材企业认证</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10家</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10家</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预拌砂浆生产企业办理实验室换证</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6家</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6家</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通过检查或验收</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90%</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90" w:hRule="atLeast"/>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本年内</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本年内</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本年内</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375" w:hRule="atLeast"/>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预算内</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19.12</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65" w:hRule="atLeast"/>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绿色建筑竣工面积比率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50%</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50%</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提高社会公众的节能环保意识,改变了普通市民对建筑用能的传统观念。</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显著提高</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完成</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8</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705" w:hRule="atLeast"/>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减轻环境污染，改善环境</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逐步改善</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完成</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提高全社会的节能、环保意识、倡导绿色、低碳发展理念</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不断提高</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完成</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trHeight w:val="510" w:hRule="atLeast"/>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9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群众满意度</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服务企业满意度</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679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7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李英</w:t>
      </w:r>
      <w:r>
        <w:rPr>
          <w:rFonts w:hint="default" w:ascii="Times New Roman" w:hAnsi="Times New Roman" w:eastAsia="仿宋_GB2312" w:cs="Times New Roman"/>
          <w:sz w:val="22"/>
          <w:highlight w:val="none"/>
        </w:rPr>
        <w:t xml:space="preserve">  填报日期： </w:t>
      </w:r>
      <w:r>
        <w:rPr>
          <w:rFonts w:hint="eastAsia" w:ascii="Times New Roman" w:hAnsi="Times New Roman" w:eastAsia="仿宋_GB2312" w:cs="Times New Roman"/>
          <w:sz w:val="22"/>
          <w:highlight w:val="none"/>
          <w:lang w:val="en-US" w:eastAsia="zh-CN"/>
        </w:rPr>
        <w:t>2026.3.30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8758029</w:t>
      </w:r>
      <w:r>
        <w:rPr>
          <w:rFonts w:hint="default" w:ascii="Times New Roman" w:hAnsi="Times New Roman" w:eastAsia="仿宋_GB2312" w:cs="Times New Roman"/>
          <w:sz w:val="22"/>
          <w:highlight w:val="none"/>
        </w:rPr>
        <w:t xml:space="preserve">   单位负责人签字：</w:t>
      </w:r>
    </w:p>
    <w:p>
      <w:pPr>
        <w:rPr>
          <w:rFonts w:hint="eastAsia" w:ascii="黑体" w:hAnsi="黑体" w:eastAsia="黑体" w:cs="黑体"/>
          <w:sz w:val="32"/>
          <w:szCs w:val="32"/>
          <w:highlight w:val="none"/>
        </w:rPr>
      </w:pPr>
      <w:r>
        <w:rPr>
          <w:rFonts w:hint="eastAsia" w:ascii="黑体" w:hAnsi="黑体" w:eastAsia="黑体" w:cs="黑体"/>
          <w:sz w:val="32"/>
          <w:szCs w:val="32"/>
          <w:highlight w:val="none"/>
        </w:rPr>
        <w:br w:type="page"/>
      </w:r>
    </w:p>
    <w:p>
      <w:pPr>
        <w:keepNext w:val="0"/>
        <w:keepLines w:val="0"/>
        <w:pageBreakBefore w:val="0"/>
        <w:widowControl w:val="0"/>
        <w:kinsoku/>
        <w:overflowPunct/>
        <w:topLinePunct w:val="0"/>
        <w:autoSpaceDE/>
        <w:autoSpaceDN/>
        <w:bidi w:val="0"/>
        <w:adjustRightInd/>
        <w:snapToGrid/>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3-25</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30"/>
        <w:gridCol w:w="1200"/>
        <w:gridCol w:w="975"/>
        <w:gridCol w:w="1335"/>
        <w:gridCol w:w="1058"/>
        <w:gridCol w:w="1192"/>
        <w:gridCol w:w="870"/>
        <w:gridCol w:w="773"/>
        <w:gridCol w:w="1418"/>
      </w:tblGrid>
      <w:tr>
        <w:tblPrEx>
          <w:tblCellMar>
            <w:top w:w="0" w:type="dxa"/>
            <w:left w:w="108" w:type="dxa"/>
            <w:bottom w:w="0" w:type="dxa"/>
            <w:right w:w="108" w:type="dxa"/>
          </w:tblCellMar>
        </w:tblPrEx>
        <w:trPr>
          <w:jc w:val="center"/>
        </w:trPr>
        <w:tc>
          <w:tcPr>
            <w:tcW w:w="10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82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省级绿色建造、浅层地热能建筑规模化应用度点补助资金</w:t>
            </w: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3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6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岳阳市住房和城乡建设局</w:t>
            </w:r>
          </w:p>
        </w:tc>
        <w:tc>
          <w:tcPr>
            <w:tcW w:w="1192"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实施单位</w:t>
            </w:r>
          </w:p>
        </w:tc>
        <w:tc>
          <w:tcPr>
            <w:tcW w:w="3061"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岳阳市绿色建筑产业发展服务中心</w:t>
            </w:r>
          </w:p>
        </w:tc>
      </w:tr>
      <w:tr>
        <w:tblPrEx>
          <w:tblCellMar>
            <w:top w:w="0" w:type="dxa"/>
            <w:left w:w="108" w:type="dxa"/>
            <w:bottom w:w="0" w:type="dxa"/>
            <w:right w:w="108" w:type="dxa"/>
          </w:tblCellMar>
        </w:tblPrEx>
        <w:trPr>
          <w:jc w:val="center"/>
        </w:trPr>
        <w:tc>
          <w:tcPr>
            <w:tcW w:w="10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预算数</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预算数</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执行数</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分值</w:t>
            </w:r>
          </w:p>
        </w:tc>
        <w:tc>
          <w:tcPr>
            <w:tcW w:w="7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执行率</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得分</w:t>
            </w:r>
          </w:p>
        </w:tc>
      </w:tr>
      <w:tr>
        <w:tblPrEx>
          <w:tblCellMar>
            <w:top w:w="0" w:type="dxa"/>
            <w:left w:w="108" w:type="dxa"/>
            <w:bottom w:w="0" w:type="dxa"/>
            <w:right w:w="108" w:type="dxa"/>
          </w:tblCellMar>
        </w:tblPrEx>
        <w:trPr>
          <w:jc w:val="center"/>
        </w:trPr>
        <w:tc>
          <w:tcPr>
            <w:tcW w:w="10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年度资金总额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172.5</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172.5</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172.5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10</w:t>
            </w:r>
          </w:p>
        </w:tc>
        <w:tc>
          <w:tcPr>
            <w:tcW w:w="7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100%</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10</w:t>
            </w:r>
          </w:p>
        </w:tc>
      </w:tr>
      <w:tr>
        <w:tblPrEx>
          <w:tblCellMar>
            <w:top w:w="0" w:type="dxa"/>
            <w:left w:w="108" w:type="dxa"/>
            <w:bottom w:w="0" w:type="dxa"/>
            <w:right w:w="108" w:type="dxa"/>
          </w:tblCellMar>
        </w:tblPrEx>
        <w:trPr>
          <w:jc w:val="center"/>
        </w:trPr>
        <w:tc>
          <w:tcPr>
            <w:tcW w:w="10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其中：当年财政拨款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上年结转资金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其他资金</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0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19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73"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6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实际完成情况　</w:t>
            </w:r>
          </w:p>
        </w:tc>
      </w:tr>
      <w:tr>
        <w:tblPrEx>
          <w:tblCellMar>
            <w:top w:w="0" w:type="dxa"/>
            <w:left w:w="108" w:type="dxa"/>
            <w:bottom w:w="0" w:type="dxa"/>
            <w:right w:w="108" w:type="dxa"/>
          </w:tblCellMar>
        </w:tblPrEx>
        <w:trPr>
          <w:jc w:val="center"/>
        </w:trPr>
        <w:tc>
          <w:tcPr>
            <w:tcW w:w="103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6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补助装配式农村自建房项目9个，出台技术规则或技术文件2个，开展绿色建造相关课题研究2个，选定重点项目目标任务调度第三方技术咨询单位1家，引导本地高校开设相关专业1家。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完成补助装配式农村自建房项目9个，出台技术规则或技术文件2个，开展绿色建造相关课题研究2个，选定重点项目目标任务调度第三方技术咨询单位1家，引导本地高校开设相关专业1家。　</w:t>
            </w:r>
          </w:p>
        </w:tc>
      </w:tr>
      <w:tr>
        <w:tblPrEx>
          <w:tblCellMar>
            <w:top w:w="0" w:type="dxa"/>
            <w:left w:w="108" w:type="dxa"/>
            <w:bottom w:w="0" w:type="dxa"/>
            <w:right w:w="108" w:type="dxa"/>
          </w:tblCellMar>
        </w:tblPrEx>
        <w:trPr>
          <w:jc w:val="center"/>
        </w:trPr>
        <w:tc>
          <w:tcPr>
            <w:tcW w:w="103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一级指标</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二级指标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三级指标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指标值</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分值</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偏差原因分析及改进措施</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(50分)</w:t>
            </w: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数量指标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装配式农村自建房项目</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9个</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9个</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出台技术规则或技术文件</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开展绿色建造相关课题研究</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2个</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trHeight w:val="1243" w:hRule="atLeast"/>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选定重点项目目标任务调度第三方技术咨询单位</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1家</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1家</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引导本地高校开设相关专业</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1家</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1家</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质量指标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装配式农村自建房项目</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9个</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9个</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时效指标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完成相关指标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年底完成</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成本指标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预算内</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172.5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效益指标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（30分）</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建筑示范项目的质量、工期、造价</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优于传统项目，示范效应明显</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提升</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建立相关专业人才培育体系</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引导本地高校开高相关专业</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减少施工中垃圾产生及碳排放量</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逐步减少</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逐步减少</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8.00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可持续影响指标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（10分）</w:t>
            </w: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服务对象满意度指标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群众满意度</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91%</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3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服务企业满意度</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91%</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6790"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总分</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7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94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填表人：</w:t>
      </w:r>
      <w:r>
        <w:rPr>
          <w:rFonts w:hint="eastAsia" w:ascii="Times New Roman" w:hAnsi="Times New Roman" w:eastAsia="仿宋_GB2312" w:cs="Times New Roman"/>
          <w:sz w:val="22"/>
          <w:highlight w:val="none"/>
          <w:lang w:eastAsia="zh-CN"/>
        </w:rPr>
        <w:t>李英</w:t>
      </w:r>
      <w:r>
        <w:rPr>
          <w:rFonts w:hint="default" w:ascii="Times New Roman" w:hAnsi="Times New Roman" w:eastAsia="仿宋_GB2312" w:cs="Times New Roman"/>
          <w:sz w:val="22"/>
          <w:highlight w:val="none"/>
        </w:rPr>
        <w:t xml:space="preserve">  填报日期： </w:t>
      </w:r>
      <w:r>
        <w:rPr>
          <w:rFonts w:hint="eastAsia" w:ascii="Times New Roman" w:hAnsi="Times New Roman" w:eastAsia="仿宋_GB2312" w:cs="Times New Roman"/>
          <w:sz w:val="22"/>
          <w:highlight w:val="none"/>
          <w:lang w:val="en-US" w:eastAsia="zh-CN"/>
        </w:rPr>
        <w:t>2026.3.30</w:t>
      </w:r>
      <w:r>
        <w:rPr>
          <w:rFonts w:hint="default" w:ascii="Times New Roman" w:hAnsi="Times New Roman" w:eastAsia="仿宋_GB2312" w:cs="Times New Roman"/>
          <w:sz w:val="22"/>
          <w:highlight w:val="none"/>
        </w:rPr>
        <w:t xml:space="preserve">   联系电话：</w:t>
      </w:r>
      <w:r>
        <w:rPr>
          <w:rFonts w:hint="eastAsia" w:ascii="Times New Roman" w:hAnsi="Times New Roman" w:eastAsia="仿宋_GB2312" w:cs="Times New Roman"/>
          <w:sz w:val="22"/>
          <w:highlight w:val="none"/>
          <w:lang w:val="en-US" w:eastAsia="zh-CN"/>
        </w:rPr>
        <w:t>8758029</w:t>
      </w:r>
      <w:r>
        <w:rPr>
          <w:rFonts w:hint="default" w:ascii="Times New Roman" w:hAnsi="Times New Roman" w:eastAsia="仿宋_GB2312" w:cs="Times New Roman"/>
          <w:sz w:val="22"/>
          <w:highlight w:val="none"/>
        </w:rPr>
        <w:t xml:space="preserve">   单位负责人签字：</w:t>
      </w:r>
    </w:p>
    <w:p>
      <w:r>
        <w:br w:type="page"/>
      </w:r>
    </w:p>
    <w:p>
      <w:pPr>
        <w:keepNext w:val="0"/>
        <w:keepLines w:val="0"/>
        <w:pageBreakBefore w:val="0"/>
        <w:widowControl w:val="0"/>
        <w:kinsoku/>
        <w:overflowPunct/>
        <w:topLinePunct w:val="0"/>
        <w:autoSpaceDE/>
        <w:autoSpaceDN/>
        <w:bidi w:val="0"/>
        <w:adjustRightInd/>
        <w:snapToGrid/>
        <w:textAlignment w:val="auto"/>
        <w:rPr>
          <w:rFonts w:hint="eastAsia"/>
          <w:lang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3-25</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autofit"/>
        <w:tblCellMar>
          <w:top w:w="0" w:type="dxa"/>
          <w:left w:w="108" w:type="dxa"/>
          <w:bottom w:w="0" w:type="dxa"/>
          <w:right w:w="108" w:type="dxa"/>
        </w:tblCellMar>
      </w:tblPr>
      <w:tblGrid>
        <w:gridCol w:w="1026"/>
        <w:gridCol w:w="1194"/>
        <w:gridCol w:w="969"/>
        <w:gridCol w:w="1328"/>
        <w:gridCol w:w="1055"/>
        <w:gridCol w:w="1187"/>
        <w:gridCol w:w="866"/>
        <w:gridCol w:w="816"/>
        <w:gridCol w:w="1410"/>
      </w:tblGrid>
      <w:tr>
        <w:tblPrEx>
          <w:tblCellMar>
            <w:top w:w="0" w:type="dxa"/>
            <w:left w:w="108" w:type="dxa"/>
            <w:bottom w:w="0" w:type="dxa"/>
            <w:right w:w="108" w:type="dxa"/>
          </w:tblCellMar>
        </w:tblPrEx>
        <w:trPr>
          <w:jc w:val="center"/>
        </w:trPr>
        <w:tc>
          <w:tcPr>
            <w:tcW w:w="10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825"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lang w:val="en-US" w:eastAsia="zh-CN"/>
              </w:rPr>
              <w:t>日常工作经费</w:t>
            </w:r>
          </w:p>
        </w:tc>
      </w:tr>
      <w:tr>
        <w:tblPrEx>
          <w:tblCellMar>
            <w:top w:w="0" w:type="dxa"/>
            <w:left w:w="108" w:type="dxa"/>
            <w:bottom w:w="0" w:type="dxa"/>
            <w:right w:w="108" w:type="dxa"/>
          </w:tblCellMar>
        </w:tblPrEx>
        <w:trPr>
          <w:jc w:val="center"/>
        </w:trPr>
        <w:tc>
          <w:tcPr>
            <w:tcW w:w="102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4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岳阳市住房和城乡建设局</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实施单位</w:t>
            </w:r>
          </w:p>
        </w:tc>
        <w:tc>
          <w:tcPr>
            <w:tcW w:w="309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岳阳市房地产市场服务中心</w:t>
            </w:r>
          </w:p>
        </w:tc>
      </w:tr>
      <w:tr>
        <w:tblPrEx>
          <w:tblCellMar>
            <w:top w:w="0" w:type="dxa"/>
            <w:left w:w="108" w:type="dxa"/>
            <w:bottom w:w="0" w:type="dxa"/>
            <w:right w:w="108" w:type="dxa"/>
          </w:tblCellMar>
        </w:tblPrEx>
        <w:trPr>
          <w:jc w:val="center"/>
        </w:trPr>
        <w:tc>
          <w:tcPr>
            <w:tcW w:w="1026"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预算数</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预算数</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执行数</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分值</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执行率</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得分</w:t>
            </w:r>
          </w:p>
        </w:tc>
      </w:tr>
      <w:tr>
        <w:tblPrEx>
          <w:tblCellMar>
            <w:top w:w="0" w:type="dxa"/>
            <w:left w:w="108" w:type="dxa"/>
            <w:bottom w:w="0" w:type="dxa"/>
            <w:right w:w="108" w:type="dxa"/>
          </w:tblCellMar>
        </w:tblPrEx>
        <w:trPr>
          <w:jc w:val="center"/>
        </w:trPr>
        <w:tc>
          <w:tcPr>
            <w:tcW w:w="102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年度资金总额　</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105</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52.5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52.41</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99.00%</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9.90</w:t>
            </w:r>
          </w:p>
        </w:tc>
      </w:tr>
      <w:tr>
        <w:tblPrEx>
          <w:tblCellMar>
            <w:top w:w="0" w:type="dxa"/>
            <w:left w:w="108" w:type="dxa"/>
            <w:bottom w:w="0" w:type="dxa"/>
            <w:right w:w="108" w:type="dxa"/>
          </w:tblCellMar>
        </w:tblPrEx>
        <w:trPr>
          <w:jc w:val="center"/>
        </w:trPr>
        <w:tc>
          <w:tcPr>
            <w:tcW w:w="102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其中：当年财政拨款　</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105</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52.5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52.41</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上年结转资金　</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其他资金</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4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预期目标</w:t>
            </w:r>
          </w:p>
        </w:tc>
        <w:tc>
          <w:tcPr>
            <w:tcW w:w="427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实际完成情况　</w:t>
            </w:r>
          </w:p>
        </w:tc>
      </w:tr>
      <w:tr>
        <w:tblPrEx>
          <w:tblCellMar>
            <w:top w:w="0" w:type="dxa"/>
            <w:left w:w="108" w:type="dxa"/>
            <w:bottom w:w="0" w:type="dxa"/>
            <w:right w:w="108" w:type="dxa"/>
          </w:tblCellMar>
        </w:tblPrEx>
        <w:trPr>
          <w:jc w:val="center"/>
        </w:trPr>
        <w:tc>
          <w:tcPr>
            <w:tcW w:w="1026"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46"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建立防范化解房地产“办证难”的长效机制，为实现“交房即交证”提供保障，在2025年底市中心城区基本化解“保交楼”5个项目房地产办证遗留问题；严格做好商品房预售资金监管工作；完成房地产企业统计数据督报、催报工作，协税互税工作和房地产开发企业资质、商品房预售许可初审、报批限时办结工作；严格做好商品房预售资金监管工作；完成房地产企业统计数据督报、催报工作，协税互税工作和房地产开发企业资质、商品房预售许可初审、报批限时办结工作；保持房地产市场平稳健康发展，确保新建商品住房价格环比增长排名保持在70个大众城市中不靠前；支持刚性和改善性住房需求，稳定房地产市场。</w:t>
            </w:r>
            <w:r>
              <w:rPr>
                <w:rFonts w:hint="eastAsia" w:ascii="仿宋_GB2312" w:hAnsi="仿宋_GB2312" w:eastAsia="仿宋_GB2312" w:cs="仿宋_GB2312"/>
                <w:color w:val="000000"/>
                <w:sz w:val="20"/>
                <w:szCs w:val="20"/>
                <w:highlight w:val="none"/>
                <w:lang w:val="en-US" w:eastAsia="zh-CN"/>
              </w:rPr>
              <w:t>　</w:t>
            </w:r>
          </w:p>
        </w:tc>
        <w:tc>
          <w:tcPr>
            <w:tcW w:w="4279"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完成</w:t>
            </w:r>
          </w:p>
        </w:tc>
      </w:tr>
      <w:tr>
        <w:tblPrEx>
          <w:tblCellMar>
            <w:top w:w="0" w:type="dxa"/>
            <w:left w:w="108" w:type="dxa"/>
            <w:bottom w:w="0" w:type="dxa"/>
            <w:right w:w="108" w:type="dxa"/>
          </w:tblCellMar>
        </w:tblPrEx>
        <w:trPr>
          <w:jc w:val="center"/>
        </w:trPr>
        <w:tc>
          <w:tcPr>
            <w:tcW w:w="102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一级指标</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二级指标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三级指标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指标值</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完成值</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分值</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得分</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偏差原因分析及改进措施</w:t>
            </w:r>
          </w:p>
        </w:tc>
      </w:tr>
      <w:tr>
        <w:tblPrEx>
          <w:tblCellMar>
            <w:top w:w="0" w:type="dxa"/>
            <w:left w:w="108" w:type="dxa"/>
            <w:bottom w:w="0" w:type="dxa"/>
            <w:right w:w="108" w:type="dxa"/>
          </w:tblCellMar>
        </w:tblPrEx>
        <w:trPr>
          <w:trHeight w:val="430" w:hRule="atLeast"/>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产出指标</w:t>
            </w: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数量指标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备案小区数</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化解“保交楼”房地产办证信访突出问题</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房地产企业统计数据催报工作</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trHeight w:val="1243" w:hRule="atLeast"/>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备案车位数</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10000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10000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质量指标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房地产企业资质的受理、预售许可率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房地产开发企业资质、商品房预售许可初审、报批限时办结率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本年度新建商品房小区地下车位备案率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中心城区小区车位申请备案通过率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时效指标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当年完成</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2025年12月31日前</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效益指标</w:t>
            </w: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经济效益指标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完成房地产投资</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同比增长5-8%</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同比增长5-8%</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推动地下车位销售</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同比增长10%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同比增长10%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完成商品房销售面积</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同比增长3-5%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同比增长3-5%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社会效益指标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建立防范化解房地产“办证难”的长效机制，为登记部门实现“交房即交证”提供保障，在2025年底市中心城区基本化解“保交楼”项目房地产办证遗留问题；</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完成房地产企业统计数据督报、催报工作，协税互税工作和房地产开发企业资质、商品房预售许可受理初审、报批限时办结工作；</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防范化解地下车位办证、产权冲突导致的相关信访问题。</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新建商品房项目车位投入市场率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地下车位面积入库管理率</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生态效益指标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房地产监督项目管理</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达到90%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达到90%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商品房预售资金管理</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达到90%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达到90%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可持续影响指标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支持刚性和改善性住房需求，稳定房地产市场</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达到100 %</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满意度指标</w:t>
            </w: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服务对象满意度指标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房地产企业地下车位备案</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业委会地下车位备案</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房地产信访量回复、满意度</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房地产市场方面，坚持按照“去库存、优结构、提质量”的要求，新建商品住房的去化同期</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稳定在12-18个月之间</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稳定在12-18个月之间</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非住宅去化同期</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稳定在20-36个月之间</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稳定在20-36个月之间</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开发企业资质申报的初审、报批</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商品房预售管理</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成本指标</w:t>
            </w: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经济成本指标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在预算内完成</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52.5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52.41</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社会成本指标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不适用1</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生态环境成本指标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不适用2</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不适用</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trHeight w:val="550" w:hRule="atLeast"/>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产出指标</w:t>
            </w:r>
          </w:p>
        </w:tc>
        <w:tc>
          <w:tcPr>
            <w:tcW w:w="969"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数量指标</w:t>
            </w: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备案小区数</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9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化解“保交楼”房地产办证信访突出问题</w:t>
            </w:r>
          </w:p>
        </w:tc>
        <w:tc>
          <w:tcPr>
            <w:tcW w:w="10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6759"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总分</w:t>
            </w:r>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rPr>
        <w:t xml:space="preserve">填表人：       </w:t>
      </w:r>
      <w:r>
        <w:rPr>
          <w:rFonts w:hint="eastAsia" w:ascii="仿宋_GB2312" w:hAnsi="仿宋_GB2312" w:eastAsia="仿宋_GB2312" w:cs="仿宋_GB2312"/>
          <w:color w:val="000000"/>
          <w:sz w:val="20"/>
          <w:szCs w:val="20"/>
          <w:highlight w:val="none"/>
          <w:lang w:val="en-US" w:eastAsia="zh-CN"/>
        </w:rPr>
        <w:t xml:space="preserve"> </w:t>
      </w:r>
      <w:r>
        <w:rPr>
          <w:rFonts w:hint="default" w:ascii="仿宋_GB2312" w:hAnsi="仿宋_GB2312" w:eastAsia="仿宋_GB2312" w:cs="仿宋_GB2312"/>
          <w:color w:val="000000"/>
          <w:sz w:val="20"/>
          <w:szCs w:val="20"/>
          <w:highlight w:val="none"/>
        </w:rPr>
        <w:t xml:space="preserve">填报日期：     </w:t>
      </w:r>
      <w:r>
        <w:rPr>
          <w:rFonts w:hint="eastAsia" w:ascii="仿宋_GB2312" w:hAnsi="仿宋_GB2312" w:eastAsia="仿宋_GB2312" w:cs="仿宋_GB2312"/>
          <w:color w:val="000000"/>
          <w:sz w:val="20"/>
          <w:szCs w:val="20"/>
          <w:highlight w:val="none"/>
          <w:lang w:val="en-US" w:eastAsia="zh-CN"/>
        </w:rPr>
        <w:t xml:space="preserve">      </w:t>
      </w:r>
      <w:r>
        <w:rPr>
          <w:rFonts w:hint="default" w:ascii="仿宋_GB2312" w:hAnsi="仿宋_GB2312" w:eastAsia="仿宋_GB2312" w:cs="仿宋_GB2312"/>
          <w:color w:val="000000"/>
          <w:sz w:val="20"/>
          <w:szCs w:val="20"/>
          <w:highlight w:val="none"/>
        </w:rPr>
        <w:t xml:space="preserve">联系电话：   </w:t>
      </w:r>
      <w:r>
        <w:rPr>
          <w:rFonts w:hint="eastAsia" w:ascii="仿宋_GB2312" w:hAnsi="仿宋_GB2312" w:eastAsia="仿宋_GB2312" w:cs="仿宋_GB2312"/>
          <w:color w:val="000000"/>
          <w:sz w:val="20"/>
          <w:szCs w:val="20"/>
          <w:highlight w:val="none"/>
          <w:lang w:val="en-US" w:eastAsia="zh-CN"/>
        </w:rPr>
        <w:t xml:space="preserve">         </w:t>
      </w:r>
      <w:r>
        <w:rPr>
          <w:rFonts w:hint="default" w:ascii="仿宋_GB2312" w:hAnsi="仿宋_GB2312" w:eastAsia="仿宋_GB2312" w:cs="仿宋_GB2312"/>
          <w:color w:val="000000"/>
          <w:sz w:val="20"/>
          <w:szCs w:val="20"/>
          <w:highlight w:val="none"/>
        </w:rPr>
        <w:t xml:space="preserve"> 单位负责人签字：</w:t>
      </w:r>
    </w:p>
    <w:p>
      <w:pPr>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br w:type="page"/>
      </w:r>
    </w:p>
    <w:p>
      <w:pPr>
        <w:widowControl/>
        <w:spacing w:line="600" w:lineRule="auto"/>
        <w:jc w:val="left"/>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3</w:t>
      </w: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-26</w:t>
      </w:r>
    </w:p>
    <w:p>
      <w:pPr>
        <w:widowControl/>
        <w:spacing w:line="600" w:lineRule="exact"/>
        <w:jc w:val="cente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pP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202</w:t>
      </w:r>
      <w:r>
        <w:rPr>
          <w:rFonts w:hint="eastAsia" w:ascii="Times New Roman" w:hAnsi="Times New Roman" w:eastAsia="方正小标宋简体" w:cs="Times New Roman"/>
          <w:color w:val="000000" w:themeColor="text1"/>
          <w:sz w:val="36"/>
          <w:szCs w:val="36"/>
          <w:highlight w:val="none"/>
          <w:lang w:val="en-US" w:eastAsia="zh-CN"/>
          <w14:textFill>
            <w14:solidFill>
              <w14:schemeClr w14:val="tx1"/>
            </w14:solidFill>
          </w14:textFill>
        </w:rPr>
        <w:t>5</w:t>
      </w:r>
      <w:r>
        <w:rPr>
          <w:rFonts w:hint="default" w:ascii="Times New Roman" w:hAnsi="Times New Roman" w:eastAsia="方正小标宋简体" w:cs="Times New Roman"/>
          <w:color w:val="000000" w:themeColor="text1"/>
          <w:sz w:val="36"/>
          <w:szCs w:val="36"/>
          <w:highlight w:val="none"/>
          <w14:textFill>
            <w14:solidFill>
              <w14:schemeClr w14:val="tx1"/>
            </w14:solidFill>
          </w14:textFill>
        </w:rPr>
        <w:t>年度项目支出绩效自评表</w:t>
      </w:r>
    </w:p>
    <w:tbl>
      <w:tblPr>
        <w:tblStyle w:val="14"/>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162"/>
        <w:gridCol w:w="1005"/>
        <w:gridCol w:w="1350"/>
        <w:gridCol w:w="1020"/>
        <w:gridCol w:w="1200"/>
        <w:gridCol w:w="855"/>
        <w:gridCol w:w="87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出名称</w:t>
            </w:r>
          </w:p>
        </w:tc>
        <w:tc>
          <w:tcPr>
            <w:tcW w:w="8798" w:type="dxa"/>
            <w:gridSpan w:val="8"/>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业务工作经费</w:t>
            </w: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主管部门</w:t>
            </w:r>
          </w:p>
        </w:tc>
        <w:tc>
          <w:tcPr>
            <w:tcW w:w="4537"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实施单位</w:t>
            </w:r>
          </w:p>
        </w:tc>
        <w:tc>
          <w:tcPr>
            <w:tcW w:w="3061" w:type="dxa"/>
            <w:gridSpan w:val="3"/>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岳阳市住房保障服务中心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项目资金</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（万元）</w:t>
            </w:r>
          </w:p>
        </w:tc>
        <w:tc>
          <w:tcPr>
            <w:tcW w:w="2167"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35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预算数</w:t>
            </w:r>
          </w:p>
        </w:tc>
        <w:tc>
          <w:tcPr>
            <w:tcW w:w="102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预算数</w:t>
            </w:r>
          </w:p>
        </w:tc>
        <w:tc>
          <w:tcPr>
            <w:tcW w:w="1200"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执行数</w:t>
            </w:r>
          </w:p>
        </w:tc>
        <w:tc>
          <w:tcPr>
            <w:tcW w:w="855"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870"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执行率</w:t>
            </w:r>
          </w:p>
        </w:tc>
        <w:tc>
          <w:tcPr>
            <w:tcW w:w="1336" w:type="dxa"/>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67"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年度资金总额　</w:t>
            </w:r>
          </w:p>
        </w:tc>
        <w:tc>
          <w:tcPr>
            <w:tcW w:w="135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139.65</w:t>
            </w:r>
          </w:p>
        </w:tc>
        <w:tc>
          <w:tcPr>
            <w:tcW w:w="102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114.97</w:t>
            </w:r>
          </w:p>
        </w:tc>
        <w:tc>
          <w:tcPr>
            <w:tcW w:w="120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113.95</w:t>
            </w:r>
          </w:p>
        </w:tc>
        <w:tc>
          <w:tcPr>
            <w:tcW w:w="8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10</w:t>
            </w:r>
          </w:p>
        </w:tc>
        <w:tc>
          <w:tcPr>
            <w:tcW w:w="8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99.11%</w:t>
            </w:r>
          </w:p>
        </w:tc>
        <w:tc>
          <w:tcPr>
            <w:tcW w:w="133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67"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其中：当年财政拨款　</w:t>
            </w:r>
          </w:p>
        </w:tc>
        <w:tc>
          <w:tcPr>
            <w:tcW w:w="135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139.65</w:t>
            </w:r>
          </w:p>
        </w:tc>
        <w:tc>
          <w:tcPr>
            <w:tcW w:w="102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114.97</w:t>
            </w:r>
          </w:p>
        </w:tc>
        <w:tc>
          <w:tcPr>
            <w:tcW w:w="120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113.95</w:t>
            </w:r>
          </w:p>
        </w:tc>
        <w:tc>
          <w:tcPr>
            <w:tcW w:w="8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10</w:t>
            </w:r>
          </w:p>
        </w:tc>
        <w:tc>
          <w:tcPr>
            <w:tcW w:w="8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99.11%</w:t>
            </w:r>
          </w:p>
        </w:tc>
        <w:tc>
          <w:tcPr>
            <w:tcW w:w="133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67"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上年结转资金　</w:t>
            </w:r>
          </w:p>
        </w:tc>
        <w:tc>
          <w:tcPr>
            <w:tcW w:w="135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2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2167" w:type="dxa"/>
            <w:gridSpan w:val="2"/>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其他资金</w:t>
            </w:r>
          </w:p>
        </w:tc>
        <w:tc>
          <w:tcPr>
            <w:tcW w:w="135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2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p>
        </w:tc>
        <w:tc>
          <w:tcPr>
            <w:tcW w:w="4537"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预期目标</w:t>
            </w:r>
          </w:p>
        </w:tc>
        <w:tc>
          <w:tcPr>
            <w:tcW w:w="4261"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4537" w:type="dxa"/>
            <w:gridSpan w:val="4"/>
            <w:noWrap w:val="0"/>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eastAsia="仿宋_GB2312"/>
                <w:kern w:val="0"/>
                <w:sz w:val="20"/>
                <w:szCs w:val="20"/>
                <w:lang w:val="en-US" w:eastAsia="zh-CN"/>
              </w:rPr>
            </w:pPr>
            <w:r>
              <w:rPr>
                <w:rFonts w:hint="eastAsia" w:eastAsia="仿宋_GB2312"/>
                <w:kern w:val="0"/>
                <w:sz w:val="20"/>
                <w:szCs w:val="20"/>
                <w:lang w:val="en-US" w:eastAsia="zh-CN"/>
              </w:rPr>
              <w:t>1.持续做好中心城区公园（南湖公园、金鹗公园、王家河公园、南湖广场）绿化树木白蚁防治，对中心城区主要路段行道树木进行蚁害灭治。</w:t>
            </w:r>
          </w:p>
          <w:p>
            <w:pPr>
              <w:keepNext w:val="0"/>
              <w:keepLines w:val="0"/>
              <w:pageBreakBefore w:val="0"/>
              <w:widowControl/>
              <w:kinsoku/>
              <w:wordWrap/>
              <w:overflowPunct/>
              <w:topLinePunct w:val="0"/>
              <w:autoSpaceDE/>
              <w:autoSpaceDN/>
              <w:bidi w:val="0"/>
              <w:adjustRightInd/>
              <w:snapToGrid/>
              <w:jc w:val="left"/>
              <w:textAlignment w:val="auto"/>
              <w:rPr>
                <w:rFonts w:hint="eastAsia" w:eastAsia="仿宋_GB2312"/>
                <w:kern w:val="0"/>
                <w:sz w:val="20"/>
                <w:szCs w:val="20"/>
                <w:lang w:val="en-US" w:eastAsia="zh-CN"/>
              </w:rPr>
            </w:pPr>
            <w:r>
              <w:rPr>
                <w:rFonts w:hint="eastAsia" w:eastAsia="仿宋_GB2312"/>
                <w:kern w:val="0"/>
                <w:sz w:val="20"/>
                <w:szCs w:val="20"/>
                <w:lang w:val="en-US" w:eastAsia="zh-CN"/>
              </w:rPr>
              <w:t>2.达到施工条件的房屋白蚁预防项目进行施工全覆盖，在保防期内的项目按回访复查要求做到复查、复治。</w:t>
            </w:r>
          </w:p>
          <w:p>
            <w:pPr>
              <w:keepNext w:val="0"/>
              <w:keepLines w:val="0"/>
              <w:pageBreakBefore w:val="0"/>
              <w:widowControl/>
              <w:kinsoku/>
              <w:wordWrap/>
              <w:overflowPunct/>
              <w:topLinePunct w:val="0"/>
              <w:autoSpaceDE/>
              <w:autoSpaceDN/>
              <w:bidi w:val="0"/>
              <w:adjustRightInd/>
              <w:snapToGrid/>
              <w:jc w:val="left"/>
              <w:textAlignment w:val="auto"/>
              <w:rPr>
                <w:rFonts w:hint="eastAsia" w:eastAsia="仿宋_GB2312"/>
                <w:kern w:val="0"/>
                <w:sz w:val="20"/>
                <w:szCs w:val="20"/>
              </w:rPr>
            </w:pPr>
            <w:r>
              <w:rPr>
                <w:rFonts w:hint="eastAsia" w:eastAsia="仿宋_GB2312"/>
                <w:kern w:val="0"/>
                <w:sz w:val="20"/>
                <w:szCs w:val="20"/>
                <w:lang w:val="en-US" w:eastAsia="zh-CN"/>
              </w:rPr>
              <w:t>3、</w:t>
            </w:r>
            <w:r>
              <w:rPr>
                <w:rFonts w:hint="eastAsia" w:eastAsia="仿宋_GB2312"/>
                <w:kern w:val="0"/>
                <w:sz w:val="20"/>
                <w:szCs w:val="20"/>
              </w:rPr>
              <w:t>公租房小区的配租、清查和退出管理</w:t>
            </w:r>
            <w:r>
              <w:rPr>
                <w:rFonts w:hint="eastAsia" w:eastAsia="仿宋_GB2312"/>
                <w:kern w:val="0"/>
                <w:sz w:val="20"/>
                <w:szCs w:val="20"/>
                <w:lang w:eastAsia="zh-CN"/>
              </w:rPr>
              <w:t>，</w:t>
            </w:r>
            <w:r>
              <w:rPr>
                <w:rFonts w:hint="eastAsia" w:eastAsia="仿宋_GB2312"/>
                <w:kern w:val="0"/>
                <w:sz w:val="20"/>
                <w:szCs w:val="20"/>
                <w:lang w:val="en-US" w:eastAsia="zh-CN"/>
              </w:rPr>
              <w:t>档案信息更新</w:t>
            </w:r>
            <w:r>
              <w:rPr>
                <w:rFonts w:hint="eastAsia" w:eastAsia="仿宋_GB2312"/>
                <w:kern w:val="0"/>
                <w:sz w:val="20"/>
                <w:szCs w:val="20"/>
              </w:rPr>
              <w:t>。</w:t>
            </w:r>
          </w:p>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Times New Roman" w:hAnsi="Times New Roman" w:eastAsia="仿宋_GB2312" w:cs="Times New Roman"/>
                <w:color w:val="000000" w:themeColor="text1"/>
                <w:sz w:val="20"/>
                <w:szCs w:val="20"/>
                <w:highlight w:val="none"/>
                <w:lang w:eastAsia="zh-CN"/>
                <w14:textFill>
                  <w14:solidFill>
                    <w14:schemeClr w14:val="tx1"/>
                  </w14:solidFill>
                </w14:textFill>
              </w:rPr>
            </w:pPr>
            <w:r>
              <w:rPr>
                <w:rFonts w:hint="eastAsia" w:eastAsia="仿宋_GB2312"/>
                <w:kern w:val="0"/>
                <w:sz w:val="20"/>
                <w:szCs w:val="20"/>
                <w:lang w:val="en-US" w:eastAsia="zh-CN"/>
              </w:rPr>
              <w:t>4、</w:t>
            </w:r>
            <w:r>
              <w:rPr>
                <w:rFonts w:hint="eastAsia" w:eastAsia="仿宋_GB2312"/>
                <w:kern w:val="0"/>
                <w:sz w:val="20"/>
                <w:szCs w:val="20"/>
              </w:rPr>
              <w:t>乡村振兴</w:t>
            </w:r>
            <w:r>
              <w:rPr>
                <w:rFonts w:hint="eastAsia" w:eastAsia="仿宋_GB2312"/>
                <w:kern w:val="0"/>
                <w:sz w:val="20"/>
                <w:szCs w:val="20"/>
                <w:lang w:eastAsia="zh-CN"/>
              </w:rPr>
              <w:t>、</w:t>
            </w:r>
            <w:r>
              <w:rPr>
                <w:rFonts w:hint="eastAsia" w:eastAsia="仿宋_GB2312"/>
                <w:kern w:val="0"/>
                <w:sz w:val="20"/>
                <w:szCs w:val="20"/>
                <w:lang w:val="en-US" w:eastAsia="zh-CN"/>
              </w:rPr>
              <w:t>文明创建</w:t>
            </w:r>
            <w:r>
              <w:rPr>
                <w:rFonts w:hint="eastAsia" w:eastAsia="仿宋_GB2312"/>
                <w:kern w:val="0"/>
                <w:sz w:val="20"/>
                <w:szCs w:val="20"/>
              </w:rPr>
              <w:t>等</w:t>
            </w:r>
          </w:p>
        </w:tc>
        <w:tc>
          <w:tcPr>
            <w:tcW w:w="4261" w:type="dxa"/>
            <w:gridSpan w:val="4"/>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年度总体目标</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全部完成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标</w:t>
            </w:r>
          </w:p>
        </w:tc>
        <w:tc>
          <w:tcPr>
            <w:tcW w:w="1162"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一级指标</w:t>
            </w:r>
          </w:p>
        </w:tc>
        <w:tc>
          <w:tcPr>
            <w:tcW w:w="100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二级指标</w:t>
            </w:r>
          </w:p>
        </w:tc>
        <w:tc>
          <w:tcPr>
            <w:tcW w:w="135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三级指标</w:t>
            </w:r>
          </w:p>
        </w:tc>
        <w:tc>
          <w:tcPr>
            <w:tcW w:w="102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指标值</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完成值</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分值</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得分</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(50分)</w:t>
            </w:r>
          </w:p>
        </w:tc>
        <w:tc>
          <w:tcPr>
            <w:tcW w:w="1005" w:type="dxa"/>
            <w:vMerge w:val="restart"/>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数量指标</w:t>
            </w:r>
          </w:p>
        </w:tc>
        <w:tc>
          <w:tcPr>
            <w:tcW w:w="1350" w:type="dxa"/>
            <w:noWrap w:val="0"/>
            <w:vAlign w:val="top"/>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多个园林单位</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绿化</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以及城区主干道行道树木</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实施白蚁防治</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灭治区域</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达到90%</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 xml:space="preserve"> </w:t>
            </w:r>
          </w:p>
        </w:tc>
        <w:tc>
          <w:tcPr>
            <w:tcW w:w="1200" w:type="dxa"/>
            <w:shd w:val="clear" w:color="auto" w:fill="auto"/>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灭治区域</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达到90%</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continue"/>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中心</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城区新建房屋</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预防项目</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达到施工条件的进行</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白蚁防治</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施工全覆盖</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面积</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300</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万平方米</w:t>
            </w:r>
          </w:p>
        </w:tc>
        <w:tc>
          <w:tcPr>
            <w:tcW w:w="1200" w:type="dxa"/>
            <w:shd w:val="clear" w:color="auto" w:fill="auto"/>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185</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万平方米</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6.17</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2025年</w:t>
            </w:r>
            <w:r>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t>房地产市场整体不景气，</w:t>
            </w: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新建房屋面积明显低于往年，后期将调低白蚁防治覆盖面积目标数。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continue"/>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市本级公租房小区住户资格年审户数</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496户</w:t>
            </w:r>
          </w:p>
        </w:tc>
        <w:tc>
          <w:tcPr>
            <w:tcW w:w="1200" w:type="dxa"/>
            <w:shd w:val="clear" w:color="auto" w:fill="auto"/>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496户</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restart"/>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质量指标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已实施白蚁防治区域无明显蚁害、不出现重复蚁害。</w:t>
            </w:r>
          </w:p>
        </w:tc>
        <w:tc>
          <w:tcPr>
            <w:tcW w:w="102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无明显蚁害</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不出现重复蚁</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害</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无明显蚁害</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、未</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出现重复蚁</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害</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continue"/>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35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有效控制保障性住房资源公平使用</w:t>
            </w:r>
          </w:p>
        </w:tc>
        <w:tc>
          <w:tcPr>
            <w:tcW w:w="102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无违法违规使用保障性住房</w:t>
            </w:r>
          </w:p>
        </w:tc>
        <w:tc>
          <w:tcPr>
            <w:tcW w:w="120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t>清退不符合条件的承租户9户</w:t>
            </w:r>
          </w:p>
        </w:tc>
        <w:tc>
          <w:tcPr>
            <w:tcW w:w="855"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kern w:val="0"/>
                <w:sz w:val="20"/>
                <w:szCs w:val="20"/>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870"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336"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时效指标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白蚁防治</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保防期</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15年</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15年</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成本指标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项目实施成本</w:t>
            </w:r>
          </w:p>
        </w:tc>
        <w:tc>
          <w:tcPr>
            <w:tcW w:w="1020" w:type="dxa"/>
            <w:noWrap w:val="0"/>
            <w:vAlign w:val="center"/>
          </w:tcPr>
          <w:p>
            <w:pPr>
              <w:keepNext w:val="0"/>
              <w:keepLines w:val="0"/>
              <w:widowControl/>
              <w:suppressLineNumbers w:val="0"/>
              <w:jc w:val="both"/>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114.97</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万元</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内</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113.95万元</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c>
          <w:tcPr>
            <w:tcW w:w="1005"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经济效</w:t>
            </w:r>
          </w:p>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无</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社会效</w:t>
            </w:r>
          </w:p>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城区多个园林单位以及城区主干道行道树木逐渐消除蚁害。</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达到良好的社会效益</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已取得良好的社会效益</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10</w:t>
            </w:r>
          </w:p>
        </w:tc>
        <w:tc>
          <w:tcPr>
            <w:tcW w:w="1336"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restart"/>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生态效</w:t>
            </w:r>
          </w:p>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益指标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逐渐消除城市园林绿地蚁害</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环境好</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14:textFill>
                  <w14:solidFill>
                    <w14:schemeClr w14:val="tx1"/>
                  </w14:solidFill>
                </w14:textFill>
              </w:rPr>
              <w:t>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环境好</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336" w:type="dxa"/>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kern w:val="0"/>
                <w:sz w:val="20"/>
                <w:szCs w:val="20"/>
                <w:highlight w:val="none"/>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continue"/>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降低城市房屋白蚁危害</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居住安全</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居住安全</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5</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restart"/>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可持续影响指标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城市园林绿化</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蚁害逐年递减</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有可持续影响</w:t>
            </w:r>
          </w:p>
        </w:tc>
        <w:tc>
          <w:tcPr>
            <w:tcW w:w="120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蚁害持续可控</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005" w:type="dxa"/>
            <w:vMerge w:val="continue"/>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城市房屋15年保防期内</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有效控制</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蚁害发生</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有效控制蚁害</w:t>
            </w:r>
          </w:p>
        </w:tc>
        <w:tc>
          <w:tcPr>
            <w:tcW w:w="120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有效控制蚁害</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5</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dxa"/>
            <w:vMerge w:val="continue"/>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c>
          <w:tcPr>
            <w:tcW w:w="1162"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（10分）</w:t>
            </w:r>
          </w:p>
        </w:tc>
        <w:tc>
          <w:tcPr>
            <w:tcW w:w="1005"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服务对象满意度指标</w:t>
            </w:r>
          </w:p>
        </w:tc>
        <w:tc>
          <w:tcPr>
            <w:tcW w:w="1350" w:type="dxa"/>
            <w:noWrap w:val="0"/>
            <w:vAlign w:val="center"/>
          </w:tcPr>
          <w:p>
            <w:pPr>
              <w:keepNext w:val="0"/>
              <w:keepLines w:val="0"/>
              <w:widowControl/>
              <w:suppressLineNumbers w:val="0"/>
              <w:jc w:val="left"/>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施工验收后</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住户</w:t>
            </w: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满意度</w:t>
            </w:r>
          </w:p>
        </w:tc>
        <w:tc>
          <w:tcPr>
            <w:tcW w:w="1020" w:type="dxa"/>
            <w:noWrap w:val="0"/>
            <w:vAlign w:val="center"/>
          </w:tcPr>
          <w:p>
            <w:pPr>
              <w:keepNext w:val="0"/>
              <w:keepLines w:val="0"/>
              <w:widowControl/>
              <w:suppressLineNumbers w:val="0"/>
              <w:jc w:val="center"/>
              <w:textAlignment w:val="top"/>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90%</w:t>
            </w:r>
            <w:r>
              <w:rPr>
                <w:rFonts w:hint="eastAsia"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t>以上</w:t>
            </w:r>
          </w:p>
        </w:tc>
        <w:tc>
          <w:tcPr>
            <w:tcW w:w="120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90%</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以上</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lang w:val="en-US"/>
                <w14:textFill>
                  <w14:solidFill>
                    <w14:schemeClr w14:val="tx1"/>
                  </w14:solidFill>
                </w14:textFill>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10</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0" w:type="dxa"/>
            <w:gridSpan w:val="6"/>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总分</w:t>
            </w:r>
          </w:p>
        </w:tc>
        <w:tc>
          <w:tcPr>
            <w:tcW w:w="855"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100</w:t>
            </w:r>
          </w:p>
        </w:tc>
        <w:tc>
          <w:tcPr>
            <w:tcW w:w="870"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200" w:firstLineChars="100"/>
              <w:jc w:val="both"/>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sz w:val="20"/>
                <w:szCs w:val="20"/>
                <w:highlight w:val="none"/>
                <w:lang w:val="en-US" w:eastAsia="zh-CN"/>
                <w14:textFill>
                  <w14:solidFill>
                    <w14:schemeClr w14:val="tx1"/>
                  </w14:solidFill>
                </w14:textFill>
              </w:rPr>
              <w:t>96.08</w:t>
            </w:r>
          </w:p>
        </w:tc>
        <w:tc>
          <w:tcPr>
            <w:tcW w:w="1336" w:type="dxa"/>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14:textFill>
                  <w14:solidFill>
                    <w14:schemeClr w14:val="tx1"/>
                  </w14:solidFill>
                </w14:textFill>
              </w:rPr>
            </w:pPr>
            <w:r>
              <w:rPr>
                <w:rFonts w:hint="default" w:ascii="Times New Roman" w:hAnsi="Times New Roman" w:eastAsia="仿宋_GB2312" w:cs="Times New Roman"/>
                <w:color w:val="000000" w:themeColor="text1"/>
                <w:sz w:val="20"/>
                <w:szCs w:val="20"/>
                <w:highlight w:val="none"/>
                <w14:textFill>
                  <w14:solidFill>
                    <w14:schemeClr w14:val="tx1"/>
                  </w14:solidFill>
                </w14:textFill>
              </w:rPr>
              <w:t>　</w:t>
            </w:r>
          </w:p>
        </w:tc>
      </w:tr>
    </w:tbl>
    <w:p>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default" w:ascii="Times New Roman" w:hAnsi="Times New Roman" w:eastAsia="仿宋_GB2312" w:cs="Times New Roman"/>
          <w:color w:val="000000" w:themeColor="text1"/>
          <w:sz w:val="22"/>
          <w:szCs w:val="22"/>
          <w:highlight w:val="none"/>
          <w14:textFill>
            <w14:solidFill>
              <w14:schemeClr w14:val="tx1"/>
            </w14:solidFill>
          </w14:textFill>
        </w:rPr>
      </w:pPr>
    </w:p>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default" w:ascii="Times New Roman" w:hAnsi="Times New Roman" w:eastAsia="仿宋_GB2312" w:cs="Times New Roman"/>
          <w:color w:val="000000" w:themeColor="text1"/>
          <w:sz w:val="22"/>
          <w:szCs w:val="2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Lines="0" w:line="240" w:lineRule="auto"/>
        <w:ind w:right="0" w:rightChars="0"/>
        <w:jc w:val="both"/>
        <w:textAlignment w:val="auto"/>
        <w:rPr>
          <w:rFonts w:hint="eastAsia" w:ascii="Times New Roman" w:hAnsi="Times New Roman" w:eastAsia="仿宋_GB2312" w:cs="Times New Roman"/>
          <w:sz w:val="22"/>
          <w:highlight w:val="none"/>
          <w:lang w:val="en-US" w:eastAsia="zh-CN"/>
        </w:rPr>
      </w:pPr>
      <w:r>
        <w:rPr>
          <w:rFonts w:hint="default" w:ascii="Times New Roman" w:hAnsi="Times New Roman" w:eastAsia="仿宋_GB2312" w:cs="Times New Roman"/>
          <w:color w:val="000000" w:themeColor="text1"/>
          <w:sz w:val="22"/>
          <w:szCs w:val="22"/>
          <w:highlight w:val="none"/>
          <w14:textFill>
            <w14:solidFill>
              <w14:schemeClr w14:val="tx1"/>
            </w14:solidFill>
          </w14:textFill>
        </w:rPr>
        <w:t>填表人：</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李青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填报日期：</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2026.4.2</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 xml:space="preserve"> </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联系电话：</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 xml:space="preserve">13873083020 </w:t>
      </w:r>
      <w:r>
        <w:rPr>
          <w:rFonts w:hint="default" w:ascii="Times New Roman" w:hAnsi="Times New Roman" w:eastAsia="仿宋_GB2312" w:cs="Times New Roman"/>
          <w:color w:val="000000" w:themeColor="text1"/>
          <w:sz w:val="22"/>
          <w:szCs w:val="22"/>
          <w:highlight w:val="none"/>
          <w14:textFill>
            <w14:solidFill>
              <w14:schemeClr w14:val="tx1"/>
            </w14:solidFill>
          </w14:textFill>
        </w:rPr>
        <w:t>单位</w:t>
      </w:r>
      <w:r>
        <w:rPr>
          <w:rFonts w:hint="eastAsia" w:ascii="Times New Roman" w:hAnsi="Times New Roman" w:eastAsia="仿宋_GB2312" w:cs="Times New Roman"/>
          <w:color w:val="000000" w:themeColor="text1"/>
          <w:sz w:val="22"/>
          <w:szCs w:val="22"/>
          <w:highlight w:val="none"/>
          <w:lang w:val="en-US" w:eastAsia="zh-CN"/>
          <w14:textFill>
            <w14:solidFill>
              <w14:schemeClr w14:val="tx1"/>
            </w14:solidFill>
          </w14:textFill>
        </w:rPr>
        <w:t>负责人签字：</w:t>
      </w:r>
      <w:r>
        <w:rPr>
          <w:rFonts w:hint="eastAsia" w:ascii="Times New Roman" w:hAnsi="Times New Roman" w:eastAsia="仿宋_GB2312" w:cs="Times New Roman"/>
          <w:sz w:val="22"/>
          <w:highlight w:val="none"/>
          <w:lang w:val="en-US" w:eastAsia="zh-CN"/>
        </w:rPr>
        <w:t>黎朝晖</w:t>
      </w:r>
    </w:p>
    <w:p>
      <w:pPr>
        <w:rPr>
          <w:rFonts w:hint="eastAsia"/>
          <w:lang w:val="en-US" w:eastAsia="zh-CN"/>
        </w:rPr>
      </w:pPr>
      <w:r>
        <w:rPr>
          <w:rFonts w:hint="eastAsia"/>
          <w:lang w:val="en-US" w:eastAsia="zh-CN"/>
        </w:rPr>
        <w:br w:type="page"/>
      </w:r>
    </w:p>
    <w:p>
      <w:pPr>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widowControl/>
        <w:spacing w:line="600" w:lineRule="exact"/>
        <w:jc w:val="left"/>
        <w:rPr>
          <w:rFonts w:hint="default" w:ascii="Times New Roman" w:hAnsi="Times New Roman" w:eastAsia="黑体" w:cs="Times New Roman"/>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3-27</w:t>
      </w:r>
    </w:p>
    <w:p>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963" w:type="dxa"/>
        <w:jc w:val="center"/>
        <w:tblLayout w:type="fixed"/>
        <w:tblCellMar>
          <w:top w:w="0" w:type="dxa"/>
          <w:left w:w="108" w:type="dxa"/>
          <w:bottom w:w="0" w:type="dxa"/>
          <w:right w:w="108" w:type="dxa"/>
        </w:tblCellMar>
      </w:tblPr>
      <w:tblGrid>
        <w:gridCol w:w="1116"/>
        <w:gridCol w:w="1155"/>
        <w:gridCol w:w="1020"/>
        <w:gridCol w:w="1335"/>
        <w:gridCol w:w="1035"/>
        <w:gridCol w:w="1170"/>
        <w:gridCol w:w="870"/>
        <w:gridCol w:w="870"/>
        <w:gridCol w:w="1392"/>
      </w:tblGrid>
      <w:tr>
        <w:tblPrEx>
          <w:tblCellMar>
            <w:top w:w="0" w:type="dxa"/>
            <w:left w:w="108" w:type="dxa"/>
            <w:bottom w:w="0" w:type="dxa"/>
            <w:right w:w="108" w:type="dxa"/>
          </w:tblCellMar>
        </w:tblPrEx>
        <w:trPr>
          <w:jc w:val="center"/>
        </w:trPr>
        <w:tc>
          <w:tcPr>
            <w:tcW w:w="11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847"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运行维护经费（非税收入征收成本）</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20"/>
                <w:szCs w:val="20"/>
                <w:lang w:val="en-US" w:eastAsia="zh-CN"/>
                <w14:textFill>
                  <w14:solidFill>
                    <w14:schemeClr w14:val="tx1"/>
                  </w14:solidFill>
                </w14:textFill>
              </w:rPr>
              <w:t>　</w:t>
            </w:r>
          </w:p>
        </w:tc>
      </w:tr>
      <w:tr>
        <w:tblPrEx>
          <w:tblCellMar>
            <w:top w:w="0" w:type="dxa"/>
            <w:left w:w="108" w:type="dxa"/>
            <w:bottom w:w="0" w:type="dxa"/>
            <w:right w:w="108" w:type="dxa"/>
          </w:tblCellMar>
        </w:tblPrEx>
        <w:trPr>
          <w:jc w:val="center"/>
        </w:trPr>
        <w:tc>
          <w:tcPr>
            <w:tcW w:w="11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45"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default" w:ascii="Times New Roman" w:hAnsi="Times New Roman" w:eastAsia="仿宋_GB2312" w:cs="Times New Roman"/>
                <w:color w:val="000000" w:themeColor="text1"/>
                <w:sz w:val="20"/>
                <w:szCs w:val="20"/>
                <w:lang w:val="en-US" w:eastAsia="zh-CN"/>
                <w14:textFill>
                  <w14:solidFill>
                    <w14:schemeClr w14:val="tx1"/>
                  </w14:solidFill>
                </w14:textFill>
              </w:rPr>
              <w:t>岳阳市住房和城乡建设局</w:t>
            </w:r>
          </w:p>
        </w:tc>
        <w:tc>
          <w:tcPr>
            <w:tcW w:w="1170"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32"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岳阳市住房保障服务中心</w:t>
            </w:r>
          </w:p>
        </w:tc>
      </w:tr>
      <w:tr>
        <w:tblPrEx>
          <w:tblCellMar>
            <w:top w:w="0" w:type="dxa"/>
            <w:left w:w="108" w:type="dxa"/>
            <w:bottom w:w="0" w:type="dxa"/>
            <w:right w:w="108" w:type="dxa"/>
          </w:tblCellMar>
        </w:tblPrEx>
        <w:trPr>
          <w:jc w:val="center"/>
        </w:trPr>
        <w:tc>
          <w:tcPr>
            <w:tcW w:w="1116"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项目资金</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（万元）</w:t>
            </w: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9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blPrEx>
          <w:tblCellMar>
            <w:top w:w="0" w:type="dxa"/>
            <w:left w:w="108" w:type="dxa"/>
            <w:bottom w:w="0" w:type="dxa"/>
            <w:right w:w="108" w:type="dxa"/>
          </w:tblCellMar>
        </w:tblPrEx>
        <w:trPr>
          <w:jc w:val="center"/>
        </w:trPr>
        <w:tc>
          <w:tcPr>
            <w:tcW w:w="111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335"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23.73</w:t>
            </w:r>
          </w:p>
        </w:tc>
        <w:tc>
          <w:tcPr>
            <w:tcW w:w="1035"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38.59</w:t>
            </w:r>
          </w:p>
        </w:tc>
        <w:tc>
          <w:tcPr>
            <w:tcW w:w="117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38.59</w:t>
            </w:r>
          </w:p>
        </w:tc>
        <w:tc>
          <w:tcPr>
            <w:tcW w:w="87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10</w:t>
            </w:r>
          </w:p>
        </w:tc>
        <w:tc>
          <w:tcPr>
            <w:tcW w:w="870"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100%</w:t>
            </w:r>
          </w:p>
        </w:tc>
        <w:tc>
          <w:tcPr>
            <w:tcW w:w="1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11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0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1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c>
          <w:tcPr>
            <w:tcW w:w="1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11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116"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5"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116"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4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2"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jc w:val="center"/>
        </w:trPr>
        <w:tc>
          <w:tcPr>
            <w:tcW w:w="1116"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45"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numPr>
                <w:ilvl w:val="0"/>
                <w:numId w:val="3"/>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按时完成并及时足额上缴非税征收任务-收缴市本级公租房小区东井嘉园房租收入。</w:t>
            </w:r>
          </w:p>
          <w:p>
            <w:pPr>
              <w:keepNext w:val="0"/>
              <w:keepLines w:val="0"/>
              <w:pageBreakBefore w:val="0"/>
              <w:widowControl/>
              <w:numPr>
                <w:ilvl w:val="0"/>
                <w:numId w:val="3"/>
              </w:numPr>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保障低收入家庭住房安全。</w:t>
            </w:r>
          </w:p>
          <w:p>
            <w:pPr>
              <w:keepNext w:val="0"/>
              <w:keepLines w:val="0"/>
              <w:pageBreakBefore w:val="0"/>
              <w:widowControl/>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对东井岭公租房小区物业、维护修缮和文明创建等进行良好的管理，创建宜居小区。　</w:t>
            </w:r>
          </w:p>
          <w:p>
            <w:pPr>
              <w:keepNext w:val="0"/>
              <w:keepLines w:val="0"/>
              <w:pageBreakBefore w:val="0"/>
              <w:widowControl/>
              <w:numPr>
                <w:ilvl w:val="0"/>
                <w:numId w:val="3"/>
              </w:numPr>
              <w:kinsoku/>
              <w:wordWrap/>
              <w:overflowPunct/>
              <w:topLinePunct w:val="0"/>
              <w:autoSpaceDE/>
              <w:autoSpaceDN/>
              <w:bidi w:val="0"/>
              <w:adjustRightInd/>
              <w:snapToGrid/>
              <w:spacing w:line="260" w:lineRule="exact"/>
              <w:ind w:left="0" w:leftChars="0" w:firstLine="0" w:firstLineChars="0"/>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做好人才公寓运营管理工作。</w:t>
            </w:r>
          </w:p>
        </w:tc>
        <w:tc>
          <w:tcPr>
            <w:tcW w:w="4302"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年度总体目标全部完成</w:t>
            </w:r>
          </w:p>
        </w:tc>
      </w:tr>
      <w:tr>
        <w:tblPrEx>
          <w:tblCellMar>
            <w:top w:w="0" w:type="dxa"/>
            <w:left w:w="108" w:type="dxa"/>
            <w:bottom w:w="0" w:type="dxa"/>
            <w:right w:w="108" w:type="dxa"/>
          </w:tblCellMar>
        </w:tblPrEx>
        <w:trPr>
          <w:jc w:val="center"/>
        </w:trPr>
        <w:tc>
          <w:tcPr>
            <w:tcW w:w="111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680" w:hRule="atLeast"/>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u w:val="none"/>
              </w:rPr>
            </w:pPr>
            <w:r>
              <w:rPr>
                <w:rFonts w:hint="eastAsia" w:ascii="仿宋_GB2312" w:hAnsi="仿宋_GB2312" w:eastAsia="仿宋_GB2312" w:cs="仿宋_GB2312"/>
                <w:color w:val="000000"/>
                <w:sz w:val="20"/>
                <w:szCs w:val="20"/>
                <w:highlight w:val="none"/>
                <w:u w:val="none"/>
              </w:rPr>
              <w:t>数量指标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u w:val="none"/>
                <w:lang w:val="en-US" w:eastAsia="zh-CN"/>
              </w:rPr>
            </w:pPr>
            <w:r>
              <w:rPr>
                <w:rFonts w:hint="eastAsia" w:ascii="仿宋_GB2312" w:hAnsi="仿宋_GB2312" w:eastAsia="仿宋_GB2312" w:cs="仿宋_GB2312"/>
                <w:color w:val="000000"/>
                <w:sz w:val="20"/>
                <w:szCs w:val="20"/>
                <w:highlight w:val="none"/>
                <w:u w:val="none"/>
                <w:lang w:val="en-US" w:eastAsia="zh-CN"/>
              </w:rPr>
              <w:t>小区管理户数</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496户</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496户</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80" w:hRule="atLeast"/>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小区</w:t>
            </w:r>
            <w:r>
              <w:rPr>
                <w:rFonts w:hint="default" w:ascii="仿宋_GB2312" w:hAnsi="仿宋_GB2312" w:eastAsia="仿宋_GB2312" w:cs="仿宋_GB2312"/>
                <w:color w:val="000000"/>
                <w:sz w:val="20"/>
                <w:szCs w:val="20"/>
                <w:highlight w:val="none"/>
                <w:lang w:val="en-US" w:eastAsia="zh-CN"/>
              </w:rPr>
              <w:t>入住管理规范</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80" w:hRule="atLeast"/>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保持小区清洁卫生</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开展城市爱卫行动</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已开展</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50" w:hRule="atLeast"/>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小区物业服务规范</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签订物业合同</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已续签</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eastAsia="仿宋_GB2312" w:cs="Times New Roman"/>
                <w:color w:val="000000" w:themeColor="text1"/>
                <w:sz w:val="20"/>
                <w:szCs w:val="20"/>
                <w:highlight w:val="none"/>
                <w:lang w:val="en-US" w:eastAsia="zh-CN"/>
                <w14:textFill>
                  <w14:solidFill>
                    <w14:schemeClr w14:val="tx1"/>
                  </w14:solidFill>
                </w14:textFill>
              </w:rPr>
            </w:pPr>
          </w:p>
        </w:tc>
      </w:tr>
      <w:tr>
        <w:tblPrEx>
          <w:tblCellMar>
            <w:top w:w="0" w:type="dxa"/>
            <w:left w:w="108" w:type="dxa"/>
            <w:bottom w:w="0" w:type="dxa"/>
            <w:right w:w="108" w:type="dxa"/>
          </w:tblCellMar>
        </w:tblPrEx>
        <w:trPr>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房屋维修维护</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报修及时响应</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已处理65起</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信访投诉</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投诉及时处理</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已处理8件</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600" w:hRule="atLeast"/>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项目实施成本</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38.59万</w:t>
            </w:r>
            <w:r>
              <w:rPr>
                <w:rFonts w:hint="eastAsia" w:ascii="仿宋_GB2312" w:hAnsi="仿宋_GB2312" w:eastAsia="仿宋_GB2312" w:cs="仿宋_GB2312"/>
                <w:color w:val="auto"/>
                <w:sz w:val="20"/>
                <w:szCs w:val="20"/>
                <w:highlight w:val="none"/>
              </w:rPr>
              <w:t>内</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38.59万</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auto"/>
                <w:sz w:val="20"/>
                <w:szCs w:val="20"/>
                <w:highlight w:val="none"/>
                <w:lang w:val="en-US" w:eastAsia="zh-CN"/>
              </w:rPr>
            </w:pPr>
          </w:p>
        </w:tc>
      </w:tr>
      <w:tr>
        <w:tblPrEx>
          <w:tblCellMar>
            <w:top w:w="0" w:type="dxa"/>
            <w:left w:w="108" w:type="dxa"/>
            <w:bottom w:w="0" w:type="dxa"/>
            <w:right w:w="108" w:type="dxa"/>
          </w:tblCellMar>
        </w:tblPrEx>
        <w:trPr>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非税收入</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99.9万</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102.73</w:t>
            </w:r>
            <w:r>
              <w:rPr>
                <w:rFonts w:hint="eastAsia" w:ascii="仿宋_GB2312" w:hAnsi="仿宋_GB2312" w:eastAsia="仿宋_GB2312" w:cs="仿宋_GB2312"/>
                <w:color w:val="000000"/>
                <w:sz w:val="20"/>
                <w:szCs w:val="20"/>
                <w:highlight w:val="none"/>
              </w:rPr>
              <w:t>万元</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保障低收入</w:t>
            </w:r>
            <w:r>
              <w:rPr>
                <w:rFonts w:hint="eastAsia" w:ascii="仿宋_GB2312" w:hAnsi="仿宋_GB2312" w:eastAsia="仿宋_GB2312" w:cs="仿宋_GB2312"/>
                <w:color w:val="000000"/>
                <w:sz w:val="20"/>
                <w:szCs w:val="20"/>
                <w:highlight w:val="none"/>
                <w:lang w:val="en-US" w:eastAsia="zh-CN"/>
              </w:rPr>
              <w:t>家庭</w:t>
            </w:r>
            <w:r>
              <w:rPr>
                <w:rFonts w:hint="eastAsia" w:ascii="仿宋_GB2312" w:hAnsi="仿宋_GB2312" w:eastAsia="仿宋_GB2312" w:cs="仿宋_GB2312"/>
                <w:color w:val="000000"/>
                <w:sz w:val="20"/>
                <w:szCs w:val="20"/>
                <w:highlight w:val="none"/>
              </w:rPr>
              <w:t>住</w:t>
            </w:r>
            <w:r>
              <w:rPr>
                <w:rFonts w:hint="eastAsia" w:ascii="仿宋_GB2312" w:hAnsi="仿宋_GB2312" w:eastAsia="仿宋_GB2312" w:cs="仿宋_GB2312"/>
                <w:color w:val="000000"/>
                <w:sz w:val="20"/>
                <w:szCs w:val="20"/>
                <w:highlight w:val="none"/>
                <w:lang w:val="en-US" w:eastAsia="zh-CN"/>
              </w:rPr>
              <w:t>有所居</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496户</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496户</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改善</w:t>
            </w:r>
            <w:r>
              <w:rPr>
                <w:rFonts w:hint="eastAsia" w:ascii="仿宋_GB2312" w:hAnsi="仿宋_GB2312" w:eastAsia="仿宋_GB2312" w:cs="仿宋_GB2312"/>
                <w:color w:val="000000"/>
                <w:sz w:val="20"/>
                <w:szCs w:val="20"/>
                <w:highlight w:val="none"/>
                <w:lang w:val="en-US" w:eastAsia="zh-CN"/>
              </w:rPr>
              <w:t>低收入家庭居住环境</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创建宜居小区</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宜居小区</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5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实现公租房长效管护</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不出现闲置、毁损</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未出现闲置、毁损</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754" w:hRule="atLeast"/>
          <w:jc w:val="center"/>
        </w:trPr>
        <w:tc>
          <w:tcPr>
            <w:tcW w:w="111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租赁户满意率</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90%以上</w:t>
            </w:r>
          </w:p>
        </w:tc>
        <w:tc>
          <w:tcPr>
            <w:tcW w:w="11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90%以上</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683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3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pStyle w:val="2"/>
        <w:rPr>
          <w:rFonts w:hint="eastAsia"/>
          <w:lang w:eastAsia="zh-CN"/>
        </w:rPr>
      </w:pPr>
    </w:p>
    <w:p>
      <w:pPr>
        <w:widowControl/>
        <w:spacing w:line="240" w:lineRule="auto"/>
        <w:jc w:val="left"/>
        <w:rPr>
          <w:rFonts w:hint="eastAsia" w:ascii="Times New Roman" w:hAnsi="Times New Roman" w:eastAsia="仿宋_GB2312" w:cs="Times New Roman"/>
          <w:sz w:val="22"/>
          <w:szCs w:val="22"/>
          <w:highlight w:val="none"/>
          <w:lang w:val="en-US" w:eastAsia="zh-CN"/>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 xml:space="preserve">李青 </w:t>
      </w:r>
      <w:r>
        <w:rPr>
          <w:rFonts w:hint="default" w:ascii="Times New Roman" w:hAnsi="Times New Roman" w:eastAsia="仿宋_GB2312" w:cs="Times New Roman"/>
          <w:sz w:val="22"/>
          <w:szCs w:val="22"/>
          <w:highlight w:val="none"/>
        </w:rPr>
        <w:t>填报日期：</w:t>
      </w:r>
      <w:r>
        <w:rPr>
          <w:rFonts w:hint="eastAsia" w:ascii="Times New Roman" w:hAnsi="Times New Roman" w:eastAsia="仿宋_GB2312" w:cs="Times New Roman"/>
          <w:sz w:val="22"/>
          <w:szCs w:val="22"/>
          <w:highlight w:val="none"/>
          <w:lang w:val="en-US" w:eastAsia="zh-CN"/>
        </w:rPr>
        <w:t xml:space="preserve">2026.4.2 </w:t>
      </w:r>
      <w:r>
        <w:rPr>
          <w:rFonts w:hint="default" w:ascii="Times New Roman" w:hAnsi="Times New Roman" w:eastAsia="仿宋_GB2312" w:cs="Times New Roman"/>
          <w:sz w:val="22"/>
          <w:szCs w:val="22"/>
          <w:highlight w:val="none"/>
        </w:rPr>
        <w:t xml:space="preserve"> 联系电话：</w:t>
      </w:r>
      <w:r>
        <w:rPr>
          <w:rFonts w:hint="eastAsia" w:ascii="Times New Roman" w:hAnsi="Times New Roman" w:eastAsia="仿宋_GB2312" w:cs="Times New Roman"/>
          <w:sz w:val="22"/>
          <w:szCs w:val="22"/>
          <w:highlight w:val="none"/>
          <w:lang w:val="en-US" w:eastAsia="zh-CN"/>
        </w:rPr>
        <w:t xml:space="preserve">13873083020 </w:t>
      </w:r>
      <w:r>
        <w:rPr>
          <w:rFonts w:hint="default" w:ascii="Times New Roman" w:hAnsi="Times New Roman" w:eastAsia="仿宋_GB2312" w:cs="Times New Roman"/>
          <w:sz w:val="22"/>
          <w:szCs w:val="22"/>
          <w:highlight w:val="none"/>
        </w:rPr>
        <w:t>单位负责</w:t>
      </w:r>
      <w:r>
        <w:rPr>
          <w:rFonts w:hint="eastAsia" w:ascii="Times New Roman" w:hAnsi="Times New Roman" w:eastAsia="仿宋_GB2312" w:cs="Times New Roman"/>
          <w:sz w:val="22"/>
          <w:szCs w:val="22"/>
          <w:highlight w:val="none"/>
          <w:lang w:val="en-US" w:eastAsia="zh-CN"/>
        </w:rPr>
        <w:t>人签字：</w:t>
      </w:r>
      <w:r>
        <w:rPr>
          <w:rFonts w:hint="eastAsia" w:ascii="Times New Roman" w:hAnsi="Times New Roman" w:eastAsia="仿宋_GB2312" w:cs="Times New Roman"/>
          <w:sz w:val="22"/>
          <w:highlight w:val="none"/>
          <w:lang w:val="en-US" w:eastAsia="zh-CN"/>
        </w:rPr>
        <w:t>黎朝晖</w:t>
      </w:r>
    </w:p>
    <w:p>
      <w:pPr>
        <w:pStyle w:val="5"/>
        <w:ind w:left="0" w:leftChars="0" w:firstLine="0" w:firstLineChars="0"/>
        <w:rPr>
          <w:rFonts w:hint="eastAsia" w:ascii="Times New Roman" w:hAnsi="Times New Roman" w:eastAsia="仿宋_GB2312" w:cs="Times New Roman"/>
          <w:sz w:val="22"/>
          <w:szCs w:val="22"/>
          <w:highlight w:val="none"/>
          <w:lang w:val="en-US" w:eastAsia="zh-CN"/>
        </w:rPr>
      </w:pPr>
    </w:p>
    <w:p>
      <w:pPr>
        <w:pStyle w:val="5"/>
        <w:ind w:left="0" w:leftChars="0" w:firstLine="0" w:firstLineChars="0"/>
        <w:rPr>
          <w:rFonts w:hint="eastAsia" w:ascii="Times New Roman" w:hAnsi="Times New Roman" w:eastAsia="仿宋_GB2312" w:cs="Times New Roman"/>
          <w:sz w:val="22"/>
          <w:szCs w:val="22"/>
          <w:highlight w:val="none"/>
          <w:lang w:val="en-US" w:eastAsia="zh-CN"/>
        </w:rPr>
      </w:pPr>
    </w:p>
    <w:p>
      <w:pPr>
        <w:rPr>
          <w:rFonts w:hint="eastAsia" w:ascii="黑体" w:hAnsi="黑体" w:eastAsia="黑体" w:cs="黑体"/>
          <w:sz w:val="32"/>
          <w:szCs w:val="32"/>
          <w:highlight w:val="none"/>
        </w:rPr>
      </w:pPr>
      <w:r>
        <w:rPr>
          <w:rFonts w:hint="eastAsia" w:ascii="黑体" w:hAnsi="黑体" w:eastAsia="黑体" w:cs="黑体"/>
          <w:sz w:val="32"/>
          <w:szCs w:val="32"/>
          <w:highlight w:val="none"/>
        </w:rPr>
        <w:br w:type="page"/>
      </w:r>
    </w:p>
    <w:p>
      <w:pPr>
        <w:widowControl/>
        <w:spacing w:line="600" w:lineRule="exact"/>
        <w:jc w:val="left"/>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3-28</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fixed"/>
        <w:tblCellMar>
          <w:top w:w="0" w:type="dxa"/>
          <w:left w:w="108" w:type="dxa"/>
          <w:bottom w:w="0" w:type="dxa"/>
          <w:right w:w="108" w:type="dxa"/>
        </w:tblCellMar>
      </w:tblPr>
      <w:tblGrid>
        <w:gridCol w:w="1058"/>
        <w:gridCol w:w="1142"/>
        <w:gridCol w:w="1050"/>
        <w:gridCol w:w="1290"/>
        <w:gridCol w:w="1030"/>
        <w:gridCol w:w="1216"/>
        <w:gridCol w:w="889"/>
        <w:gridCol w:w="855"/>
        <w:gridCol w:w="1321"/>
      </w:tblGrid>
      <w:tr>
        <w:tblPrEx>
          <w:tblCellMar>
            <w:top w:w="0" w:type="dxa"/>
            <w:left w:w="108" w:type="dxa"/>
            <w:bottom w:w="0" w:type="dxa"/>
            <w:right w:w="108" w:type="dxa"/>
          </w:tblCellMar>
        </w:tblPrEx>
        <w:trPr>
          <w:jc w:val="center"/>
        </w:trPr>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3"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枫桥湖廉租房小区经济适用房办证费</w:t>
            </w:r>
          </w:p>
        </w:tc>
      </w:tr>
      <w:tr>
        <w:tblPrEx>
          <w:tblCellMar>
            <w:top w:w="0" w:type="dxa"/>
            <w:left w:w="108" w:type="dxa"/>
            <w:bottom w:w="0" w:type="dxa"/>
            <w:right w:w="108" w:type="dxa"/>
          </w:tblCellMar>
        </w:tblPrEx>
        <w:trPr>
          <w:jc w:val="center"/>
        </w:trPr>
        <w:tc>
          <w:tcPr>
            <w:tcW w:w="105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2"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岳阳市住房和城乡建设局</w:t>
            </w:r>
          </w:p>
        </w:tc>
        <w:tc>
          <w:tcPr>
            <w:tcW w:w="1216"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65"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岳阳市住房保障服务中心</w:t>
            </w:r>
          </w:p>
        </w:tc>
      </w:tr>
      <w:tr>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9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9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13.70</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13.18</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96.20%</w:t>
            </w:r>
            <w:r>
              <w:rPr>
                <w:rFonts w:hint="eastAsia" w:ascii="仿宋_GB2312" w:hAnsi="仿宋_GB2312" w:eastAsia="仿宋_GB2312" w:cs="仿宋_GB2312"/>
                <w:color w:val="000000"/>
                <w:sz w:val="20"/>
                <w:szCs w:val="20"/>
                <w:highlight w:val="none"/>
              </w:rPr>
              <w:t>　</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9.62</w:t>
            </w:r>
          </w:p>
        </w:tc>
      </w:tr>
      <w:tr>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9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13.70</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13.18</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9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92"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2"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8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trHeight w:val="536" w:hRule="atLeast"/>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2"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为枫桥湖廉租房小区住户办理不动产产权证</w:t>
            </w:r>
            <w:r>
              <w:rPr>
                <w:rFonts w:hint="eastAsia" w:ascii="仿宋_GB2312" w:hAnsi="仿宋_GB2312" w:eastAsia="仿宋_GB2312" w:cs="仿宋_GB2312"/>
                <w:color w:val="000000"/>
                <w:sz w:val="20"/>
                <w:szCs w:val="20"/>
                <w:highlight w:val="none"/>
              </w:rPr>
              <w:t>　</w:t>
            </w:r>
          </w:p>
        </w:tc>
        <w:tc>
          <w:tcPr>
            <w:tcW w:w="4281"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已完成办证</w:t>
            </w:r>
          </w:p>
        </w:tc>
      </w:tr>
      <w:tr>
        <w:tblPrEx>
          <w:tblCellMar>
            <w:top w:w="0" w:type="dxa"/>
            <w:left w:w="108" w:type="dxa"/>
            <w:bottom w:w="0" w:type="dxa"/>
            <w:right w:w="108" w:type="dxa"/>
          </w:tblCellMar>
        </w:tblPrEx>
        <w:trPr>
          <w:jc w:val="center"/>
        </w:trPr>
        <w:tc>
          <w:tcPr>
            <w:tcW w:w="1058"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42" w:type="dxa"/>
            <w:tcBorders>
              <w:top w:val="nil"/>
              <w:left w:val="nil"/>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50" w:type="dxa"/>
            <w:tcBorders>
              <w:top w:val="nil"/>
              <w:left w:val="nil"/>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9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trHeight w:val="555" w:hRule="atLeast"/>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办证户数</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15户</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15户</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tblPrEx>
          <w:tblCellMar>
            <w:top w:w="0" w:type="dxa"/>
            <w:left w:w="108" w:type="dxa"/>
            <w:bottom w:w="0" w:type="dxa"/>
            <w:right w:w="108" w:type="dxa"/>
          </w:tblCellMar>
        </w:tblPrEx>
        <w:trPr>
          <w:trHeight w:val="480" w:hRule="atLeast"/>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办证时间</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办证费</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13.70万内</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13.18万</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解决办证信访问题</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为</w:t>
            </w:r>
            <w:r>
              <w:rPr>
                <w:rFonts w:hint="eastAsia" w:ascii="仿宋_GB2312" w:hAnsi="仿宋_GB2312" w:eastAsia="仿宋_GB2312" w:cs="仿宋_GB2312"/>
                <w:color w:val="000000"/>
                <w:sz w:val="20"/>
                <w:szCs w:val="20"/>
                <w:highlight w:val="none"/>
                <w:lang w:val="en-US" w:eastAsia="zh-CN"/>
              </w:rPr>
              <w:t>15户经适房住户扫清办证障碍。</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已办证</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4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90"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0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9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val="en-US" w:eastAsia="zh-CN"/>
              </w:rPr>
              <w:t>住户</w:t>
            </w:r>
            <w:r>
              <w:rPr>
                <w:rFonts w:hint="eastAsia" w:ascii="仿宋_GB2312" w:hAnsi="仿宋_GB2312" w:eastAsia="仿宋_GB2312" w:cs="仿宋_GB2312"/>
                <w:color w:val="000000"/>
                <w:sz w:val="20"/>
                <w:szCs w:val="20"/>
                <w:highlight w:val="none"/>
                <w:lang w:eastAsia="zh-CN"/>
              </w:rPr>
              <w:t>满意度</w:t>
            </w:r>
          </w:p>
        </w:tc>
        <w:tc>
          <w:tcPr>
            <w:tcW w:w="103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90%以上</w:t>
            </w:r>
          </w:p>
        </w:tc>
        <w:tc>
          <w:tcPr>
            <w:tcW w:w="1216"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90%以上</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tblPrEx>
          <w:tblCellMar>
            <w:top w:w="0" w:type="dxa"/>
            <w:left w:w="108" w:type="dxa"/>
            <w:bottom w:w="0" w:type="dxa"/>
            <w:right w:w="108" w:type="dxa"/>
          </w:tblCellMar>
        </w:tblPrEx>
        <w:trPr>
          <w:jc w:val="center"/>
        </w:trPr>
        <w:tc>
          <w:tcPr>
            <w:tcW w:w="6786"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8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99.62</w:t>
            </w:r>
          </w:p>
        </w:tc>
        <w:tc>
          <w:tcPr>
            <w:tcW w:w="132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p>
        </w:tc>
      </w:tr>
    </w:tbl>
    <w:p>
      <w:pPr>
        <w:keepNext w:val="0"/>
        <w:keepLines w:val="0"/>
        <w:pageBreakBefore w:val="0"/>
        <w:widowControl w:val="0"/>
        <w:kinsoku/>
        <w:overflowPunct/>
        <w:topLinePunct w:val="0"/>
        <w:autoSpaceDE/>
        <w:autoSpaceDN/>
        <w:bidi w:val="0"/>
        <w:adjustRightInd/>
        <w:snapToGrid/>
        <w:textAlignment w:val="auto"/>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18"/>
          <w:szCs w:val="18"/>
          <w:highlight w:val="none"/>
          <w:lang w:eastAsia="zh-CN"/>
        </w:rPr>
      </w:pPr>
    </w:p>
    <w:p>
      <w:pPr>
        <w:keepNext w:val="0"/>
        <w:keepLines w:val="0"/>
        <w:pageBreakBefore w:val="0"/>
        <w:widowControl w:val="0"/>
        <w:kinsoku/>
        <w:overflowPunct/>
        <w:topLinePunct w:val="0"/>
        <w:autoSpaceDE/>
        <w:autoSpaceDN/>
        <w:bidi w:val="0"/>
        <w:adjustRightInd/>
        <w:snapToGrid/>
        <w:textAlignment w:val="auto"/>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李青</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 xml:space="preserve">2026.4.2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13873083020 </w:t>
      </w:r>
      <w:r>
        <w:rPr>
          <w:rFonts w:hint="default" w:ascii="Times New Roman" w:hAnsi="Times New Roman" w:eastAsia="仿宋_GB2312" w:cs="Times New Roman"/>
          <w:sz w:val="22"/>
          <w:szCs w:val="22"/>
          <w:highlight w:val="none"/>
        </w:rPr>
        <w:t xml:space="preserve"> 单位负责人签字：</w:t>
      </w:r>
      <w:r>
        <w:rPr>
          <w:rFonts w:hint="eastAsia" w:ascii="Times New Roman" w:hAnsi="Times New Roman" w:eastAsia="仿宋_GB2312" w:cs="Times New Roman"/>
          <w:sz w:val="22"/>
          <w:highlight w:val="none"/>
          <w:lang w:val="en-US" w:eastAsia="zh-CN"/>
        </w:rPr>
        <w:t>黎朝晖</w:t>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rPr>
      </w:pPr>
    </w:p>
    <w:p>
      <w:pPr>
        <w:widowControl/>
        <w:spacing w:line="600" w:lineRule="exact"/>
        <w:jc w:val="left"/>
        <w:rPr>
          <w:rFonts w:hint="default" w:ascii="黑体" w:hAnsi="黑体" w:eastAsia="黑体" w:cs="黑体"/>
          <w:sz w:val="32"/>
          <w:szCs w:val="32"/>
          <w:highlight w:val="none"/>
          <w:lang w:val="en-US" w:eastAsia="zh-CN"/>
        </w:rPr>
      </w:pP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rPr>
      </w:pPr>
    </w:p>
    <w:p>
      <w:pPr>
        <w:rPr>
          <w:rFonts w:hint="eastAsia" w:ascii="黑体" w:hAnsi="黑体" w:eastAsia="黑体" w:cs="黑体"/>
          <w:sz w:val="32"/>
          <w:szCs w:val="32"/>
          <w:highlight w:val="none"/>
        </w:rPr>
      </w:pPr>
      <w:r>
        <w:rPr>
          <w:rFonts w:hint="eastAsia" w:ascii="黑体" w:hAnsi="黑体" w:eastAsia="黑体" w:cs="黑体"/>
          <w:sz w:val="32"/>
          <w:szCs w:val="32"/>
          <w:highlight w:val="none"/>
        </w:rPr>
        <w:br w:type="page"/>
      </w:r>
    </w:p>
    <w:p>
      <w:pPr>
        <w:keepNext w:val="0"/>
        <w:keepLines w:val="0"/>
        <w:pageBreakBefore w:val="0"/>
        <w:widowControl w:val="0"/>
        <w:kinsoku/>
        <w:overflowPunct/>
        <w:topLinePunct w:val="0"/>
        <w:autoSpaceDE/>
        <w:autoSpaceDN/>
        <w:bidi w:val="0"/>
        <w:adjustRightInd/>
        <w:snapToGrid/>
        <w:spacing w:line="600" w:lineRule="exact"/>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3-29</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5</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14"/>
        <w:tblW w:w="9851" w:type="dxa"/>
        <w:jc w:val="center"/>
        <w:tblLayout w:type="fixed"/>
        <w:tblCellMar>
          <w:top w:w="0" w:type="dxa"/>
          <w:left w:w="108" w:type="dxa"/>
          <w:bottom w:w="0" w:type="dxa"/>
          <w:right w:w="108" w:type="dxa"/>
        </w:tblCellMar>
      </w:tblPr>
      <w:tblGrid>
        <w:gridCol w:w="1058"/>
        <w:gridCol w:w="1151"/>
        <w:gridCol w:w="1020"/>
        <w:gridCol w:w="1335"/>
        <w:gridCol w:w="1020"/>
        <w:gridCol w:w="1155"/>
        <w:gridCol w:w="879"/>
        <w:gridCol w:w="861"/>
        <w:gridCol w:w="1372"/>
      </w:tblGrid>
      <w:tr>
        <w:tblPrEx>
          <w:tblCellMar>
            <w:top w:w="0" w:type="dxa"/>
            <w:left w:w="108" w:type="dxa"/>
            <w:bottom w:w="0" w:type="dxa"/>
            <w:right w:w="108" w:type="dxa"/>
          </w:tblCellMar>
        </w:tblPrEx>
        <w:trPr>
          <w:jc w:val="center"/>
        </w:trPr>
        <w:tc>
          <w:tcPr>
            <w:tcW w:w="10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3"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其他资金支出（收购恒大商品房用作保障性住房购置资金）</w:t>
            </w:r>
          </w:p>
        </w:tc>
      </w:tr>
      <w:tr>
        <w:tblPrEx>
          <w:tblCellMar>
            <w:top w:w="0" w:type="dxa"/>
            <w:left w:w="108" w:type="dxa"/>
            <w:bottom w:w="0" w:type="dxa"/>
            <w:right w:w="108" w:type="dxa"/>
          </w:tblCellMar>
        </w:tblPrEx>
        <w:trPr>
          <w:jc w:val="center"/>
        </w:trPr>
        <w:tc>
          <w:tcPr>
            <w:tcW w:w="105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26"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岳阳市住房和城乡建设局</w:t>
            </w:r>
          </w:p>
        </w:tc>
        <w:tc>
          <w:tcPr>
            <w:tcW w:w="1155"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2"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岳阳市住房保障服务中心</w:t>
            </w:r>
          </w:p>
        </w:tc>
      </w:tr>
      <w:tr>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7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71" w:type="dxa"/>
            <w:gridSpan w:val="2"/>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33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4287.58</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26"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67"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tblPrEx>
          <w:tblCellMar>
            <w:top w:w="0" w:type="dxa"/>
            <w:left w:w="108" w:type="dxa"/>
            <w:bottom w:w="0" w:type="dxa"/>
            <w:right w:w="108" w:type="dxa"/>
          </w:tblCellMar>
        </w:tblPrEx>
        <w:trPr>
          <w:trHeight w:val="620" w:hRule="atLeast"/>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26" w:type="dxa"/>
            <w:gridSpan w:val="4"/>
            <w:tcBorders>
              <w:top w:val="single" w:color="auto" w:sz="4" w:space="0"/>
              <w:left w:val="nil"/>
              <w:bottom w:val="single" w:color="auto" w:sz="4" w:space="0"/>
              <w:right w:val="single" w:color="000000"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收购</w:t>
            </w:r>
            <w:r>
              <w:rPr>
                <w:rFonts w:hint="eastAsia" w:ascii="仿宋_GB2312" w:hAnsi="仿宋_GB2312" w:eastAsia="仿宋_GB2312" w:cs="仿宋_GB2312"/>
                <w:color w:val="000000"/>
                <w:sz w:val="20"/>
                <w:szCs w:val="20"/>
                <w:highlight w:val="none"/>
                <w:lang w:val="en-US" w:eastAsia="zh-CN"/>
              </w:rPr>
              <w:t>恒大养生谷129套存量商品房作为保障性住房，暂按3000元/㎡的价格，签订收购框架协议，并支付相应的房款。</w:t>
            </w:r>
          </w:p>
        </w:tc>
        <w:tc>
          <w:tcPr>
            <w:tcW w:w="4267" w:type="dxa"/>
            <w:gridSpan w:val="4"/>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已</w:t>
            </w:r>
            <w:r>
              <w:rPr>
                <w:rFonts w:hint="eastAsia" w:ascii="仿宋_GB2312" w:hAnsi="仿宋_GB2312" w:eastAsia="仿宋_GB2312" w:cs="仿宋_GB2312"/>
                <w:color w:val="000000"/>
                <w:sz w:val="20"/>
                <w:szCs w:val="20"/>
                <w:highlight w:val="none"/>
                <w:lang w:eastAsia="zh-CN"/>
              </w:rPr>
              <w:t>签订收购框架协议，</w:t>
            </w:r>
            <w:r>
              <w:rPr>
                <w:rFonts w:hint="eastAsia" w:ascii="仿宋_GB2312" w:hAnsi="仿宋_GB2312" w:eastAsia="仿宋_GB2312" w:cs="仿宋_GB2312"/>
                <w:color w:val="000000"/>
                <w:sz w:val="20"/>
                <w:szCs w:val="20"/>
                <w:highlight w:val="none"/>
                <w:lang w:val="en-US" w:eastAsia="zh-CN"/>
              </w:rPr>
              <w:t>并支付房款4287.58万元，</w:t>
            </w:r>
            <w:r>
              <w:rPr>
                <w:rFonts w:hint="eastAsia" w:ascii="仿宋_GB2312" w:hAnsi="仿宋_GB2312" w:eastAsia="仿宋_GB2312" w:cs="仿宋_GB2312"/>
                <w:color w:val="000000"/>
                <w:sz w:val="20"/>
                <w:szCs w:val="20"/>
                <w:highlight w:val="none"/>
                <w:lang w:eastAsia="zh-CN"/>
              </w:rPr>
              <w:t>最终收购价格</w:t>
            </w:r>
            <w:r>
              <w:rPr>
                <w:rFonts w:hint="eastAsia" w:ascii="仿宋_GB2312" w:hAnsi="仿宋_GB2312" w:eastAsia="仿宋_GB2312" w:cs="仿宋_GB2312"/>
                <w:color w:val="000000"/>
                <w:sz w:val="20"/>
                <w:szCs w:val="20"/>
                <w:highlight w:val="none"/>
                <w:lang w:val="en-US" w:eastAsia="zh-CN"/>
              </w:rPr>
              <w:t>后续由专业机构进行</w:t>
            </w:r>
            <w:r>
              <w:rPr>
                <w:rFonts w:hint="eastAsia" w:ascii="仿宋_GB2312" w:hAnsi="仿宋_GB2312" w:eastAsia="仿宋_GB2312" w:cs="仿宋_GB2312"/>
                <w:color w:val="000000"/>
                <w:sz w:val="20"/>
                <w:szCs w:val="20"/>
                <w:highlight w:val="none"/>
                <w:lang w:eastAsia="zh-CN"/>
              </w:rPr>
              <w:t>评审</w:t>
            </w:r>
            <w:r>
              <w:rPr>
                <w:rFonts w:hint="eastAsia" w:ascii="仿宋_GB2312" w:hAnsi="仿宋_GB2312" w:eastAsia="仿宋_GB2312" w:cs="仿宋_GB2312"/>
                <w:color w:val="000000"/>
                <w:sz w:val="20"/>
                <w:szCs w:val="20"/>
                <w:highlight w:val="none"/>
                <w:lang w:val="en-US" w:eastAsia="zh-CN"/>
              </w:rPr>
              <w:t>确定</w:t>
            </w:r>
            <w:r>
              <w:rPr>
                <w:rFonts w:hint="eastAsia" w:ascii="仿宋_GB2312" w:hAnsi="仿宋_GB2312" w:eastAsia="仿宋_GB2312" w:cs="仿宋_GB2312"/>
                <w:color w:val="000000"/>
                <w:sz w:val="20"/>
                <w:szCs w:val="20"/>
                <w:highlight w:val="none"/>
                <w:lang w:eastAsia="zh-CN"/>
              </w:rPr>
              <w:t>。</w:t>
            </w:r>
          </w:p>
        </w:tc>
      </w:tr>
      <w:tr>
        <w:tblPrEx>
          <w:tblCellMar>
            <w:top w:w="0" w:type="dxa"/>
            <w:left w:w="108" w:type="dxa"/>
            <w:bottom w:w="0" w:type="dxa"/>
            <w:right w:w="108" w:type="dxa"/>
          </w:tblCellMar>
        </w:tblPrEx>
        <w:trPr>
          <w:jc w:val="center"/>
        </w:trPr>
        <w:tc>
          <w:tcPr>
            <w:tcW w:w="1058" w:type="dxa"/>
            <w:vMerge w:val="restart"/>
            <w:tcBorders>
              <w:top w:val="nil"/>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151" w:type="dxa"/>
            <w:tcBorders>
              <w:top w:val="nil"/>
              <w:left w:val="nil"/>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20" w:type="dxa"/>
            <w:tcBorders>
              <w:top w:val="nil"/>
              <w:left w:val="nil"/>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35" w:type="dxa"/>
            <w:tcBorders>
              <w:top w:val="nil"/>
              <w:left w:val="nil"/>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2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335"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收购存量商品房</w:t>
            </w:r>
            <w:r>
              <w:rPr>
                <w:rFonts w:hint="eastAsia" w:ascii="仿宋_GB2312" w:hAnsi="仿宋_GB2312" w:eastAsia="仿宋_GB2312" w:cs="仿宋_GB2312"/>
                <w:color w:val="000000"/>
                <w:sz w:val="20"/>
                <w:szCs w:val="20"/>
                <w:highlight w:val="none"/>
                <w:lang w:val="en-US" w:eastAsia="zh-CN"/>
              </w:rPr>
              <w:t>套数</w:t>
            </w:r>
          </w:p>
        </w:tc>
        <w:tc>
          <w:tcPr>
            <w:tcW w:w="102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w:t>
            </w:r>
            <w:r>
              <w:rPr>
                <w:rFonts w:hint="eastAsia" w:ascii="仿宋_GB2312" w:hAnsi="仿宋_GB2312" w:eastAsia="仿宋_GB2312" w:cs="仿宋_GB2312"/>
                <w:color w:val="000000"/>
                <w:sz w:val="20"/>
                <w:szCs w:val="20"/>
                <w:highlight w:val="none"/>
                <w:lang w:val="en-US" w:eastAsia="zh-CN"/>
              </w:rPr>
              <w:t>9套</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w:t>
            </w:r>
            <w:r>
              <w:rPr>
                <w:rFonts w:hint="eastAsia" w:ascii="仿宋_GB2312" w:hAnsi="仿宋_GB2312" w:eastAsia="仿宋_GB2312" w:cs="仿宋_GB2312"/>
                <w:color w:val="000000"/>
                <w:sz w:val="20"/>
                <w:szCs w:val="20"/>
                <w:highlight w:val="none"/>
                <w:lang w:val="en-US" w:eastAsia="zh-CN"/>
              </w:rPr>
              <w:t>9套</w:t>
            </w: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tblPrEx>
          <w:tblCellMar>
            <w:top w:w="0" w:type="dxa"/>
            <w:left w:w="108" w:type="dxa"/>
            <w:bottom w:w="0" w:type="dxa"/>
            <w:right w:w="108" w:type="dxa"/>
          </w:tblCellMar>
        </w:tblPrEx>
        <w:trPr>
          <w:trHeight w:val="510" w:hRule="atLeast"/>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35"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房源为恒大公司自有产权住宅</w:t>
            </w:r>
          </w:p>
        </w:tc>
        <w:tc>
          <w:tcPr>
            <w:tcW w:w="102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房源无产权纠纷、未抵押、未被查封、未冻结</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房源无产权纠纷、未抵押、未被查封、未冻结</w:t>
            </w: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35"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签订收购框架协议时间</w:t>
            </w:r>
          </w:p>
        </w:tc>
        <w:tc>
          <w:tcPr>
            <w:tcW w:w="102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2025.12.31日前</w:t>
            </w: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35"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暂定收购单价</w:t>
            </w:r>
          </w:p>
        </w:tc>
        <w:tc>
          <w:tcPr>
            <w:tcW w:w="102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3000元/㎡</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3000元/㎡</w:t>
            </w: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2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02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trHeight w:val="1394" w:hRule="atLeast"/>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仿宋_GB2312" w:hAnsi="等线" w:eastAsia="仿宋_GB2312" w:cs="仿宋_GB2312"/>
                <w:i w:val="0"/>
                <w:iCs w:val="0"/>
                <w:color w:val="000000"/>
                <w:kern w:val="0"/>
                <w:sz w:val="20"/>
                <w:szCs w:val="20"/>
                <w:u w:val="none"/>
                <w:lang w:val="en-US" w:eastAsia="zh-CN" w:bidi="ar-SA"/>
              </w:rPr>
            </w:pPr>
            <w:r>
              <w:rPr>
                <w:rFonts w:hint="default" w:ascii="仿宋_GB2312" w:hAnsi="等线" w:eastAsia="仿宋_GB2312" w:cs="仿宋_GB2312"/>
                <w:i w:val="0"/>
                <w:iCs w:val="0"/>
                <w:color w:val="000000"/>
                <w:kern w:val="0"/>
                <w:sz w:val="20"/>
                <w:szCs w:val="20"/>
                <w:u w:val="none"/>
                <w:lang w:val="en-US" w:eastAsia="zh-CN" w:bidi="ar-SA"/>
              </w:rPr>
              <w:t>盘活市场存量房源，缓解低收入家庭住房困难</w:t>
            </w:r>
          </w:p>
        </w:tc>
        <w:tc>
          <w:tcPr>
            <w:tcW w:w="1020"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盘活存量商品房建筑面积</w:t>
            </w:r>
            <w:r>
              <w:rPr>
                <w:rFonts w:hint="default" w:ascii="仿宋_GB2312" w:hAnsi="仿宋_GB2312" w:eastAsia="仿宋_GB2312" w:cs="仿宋_GB2312"/>
                <w:color w:val="000000"/>
                <w:sz w:val="20"/>
                <w:szCs w:val="20"/>
                <w:highlight w:val="none"/>
                <w:lang w:val="en-US" w:eastAsia="zh-CN"/>
              </w:rPr>
              <w:t>12425.59平米</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12425.59平米</w:t>
            </w: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vMerge w:val="continue"/>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000000" w:sz="4" w:space="0"/>
              <w:left w:val="nil"/>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35" w:type="dxa"/>
            <w:tcBorders>
              <w:top w:val="single" w:color="000000"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335"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完善住房保障体系</w:t>
            </w:r>
          </w:p>
        </w:tc>
        <w:tc>
          <w:tcPr>
            <w:tcW w:w="10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形成可持续的保障性住房供给</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形成可持续的保障性住房供给</w:t>
            </w:r>
          </w:p>
        </w:tc>
        <w:tc>
          <w:tcPr>
            <w:tcW w:w="87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37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151" w:type="dxa"/>
            <w:tcBorders>
              <w:top w:val="single" w:color="000000" w:sz="4" w:space="0"/>
              <w:left w:val="nil"/>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35" w:type="dxa"/>
            <w:tcBorders>
              <w:top w:val="nil"/>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收购方满意度</w:t>
            </w:r>
          </w:p>
        </w:tc>
        <w:tc>
          <w:tcPr>
            <w:tcW w:w="102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90%以上</w:t>
            </w:r>
          </w:p>
        </w:tc>
        <w:tc>
          <w:tcPr>
            <w:tcW w:w="11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90%以上</w:t>
            </w:r>
          </w:p>
        </w:tc>
        <w:tc>
          <w:tcPr>
            <w:tcW w:w="879"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6739"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79"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86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372"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bl>
    <w:p>
      <w:pPr>
        <w:keepNext w:val="0"/>
        <w:keepLines w:val="0"/>
        <w:pageBreakBefore w:val="0"/>
        <w:widowControl w:val="0"/>
        <w:kinsoku/>
        <w:overflowPunct/>
        <w:topLinePunct w:val="0"/>
        <w:autoSpaceDE/>
        <w:autoSpaceDN/>
        <w:bidi w:val="0"/>
        <w:adjustRightInd/>
        <w:snapToGrid/>
        <w:textAlignment w:val="auto"/>
        <w:rPr>
          <w:rFonts w:hint="default"/>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pPr>
        <w:keepNext w:val="0"/>
        <w:keepLines w:val="0"/>
        <w:pageBreakBefore w:val="0"/>
        <w:widowControl w:val="0"/>
        <w:kinsoku/>
        <w:overflowPunct/>
        <w:topLinePunct w:val="0"/>
        <w:autoSpaceDE/>
        <w:autoSpaceDN/>
        <w:bidi w:val="0"/>
        <w:adjustRightInd/>
        <w:snapToGrid/>
        <w:textAlignment w:val="auto"/>
      </w:pPr>
      <w:r>
        <w:rPr>
          <w:rFonts w:hint="default" w:ascii="Times New Roman" w:hAnsi="Times New Roman" w:eastAsia="仿宋_GB2312" w:cs="Times New Roman"/>
          <w:sz w:val="22"/>
          <w:szCs w:val="22"/>
          <w:highlight w:val="none"/>
        </w:rPr>
        <w:t>填表人：</w:t>
      </w:r>
      <w:r>
        <w:rPr>
          <w:rFonts w:hint="eastAsia" w:ascii="Times New Roman" w:hAnsi="Times New Roman" w:eastAsia="仿宋_GB2312" w:cs="Times New Roman"/>
          <w:sz w:val="22"/>
          <w:szCs w:val="22"/>
          <w:highlight w:val="none"/>
          <w:lang w:val="en-US" w:eastAsia="zh-CN"/>
        </w:rPr>
        <w:t>李青</w:t>
      </w:r>
      <w:r>
        <w:rPr>
          <w:rFonts w:hint="default" w:ascii="Times New Roman" w:hAnsi="Times New Roman" w:eastAsia="仿宋_GB2312" w:cs="Times New Roman"/>
          <w:sz w:val="22"/>
          <w:szCs w:val="22"/>
          <w:highlight w:val="none"/>
        </w:rPr>
        <w:t xml:space="preserve"> 填报日期：</w:t>
      </w:r>
      <w:r>
        <w:rPr>
          <w:rFonts w:hint="eastAsia" w:ascii="Times New Roman" w:hAnsi="Times New Roman" w:eastAsia="仿宋_GB2312" w:cs="Times New Roman"/>
          <w:sz w:val="22"/>
          <w:szCs w:val="22"/>
          <w:highlight w:val="none"/>
          <w:lang w:val="en-US" w:eastAsia="zh-CN"/>
        </w:rPr>
        <w:t xml:space="preserve">2026.4.2  </w:t>
      </w:r>
      <w:r>
        <w:rPr>
          <w:rFonts w:hint="default" w:ascii="Times New Roman" w:hAnsi="Times New Roman" w:eastAsia="仿宋_GB2312" w:cs="Times New Roman"/>
          <w:sz w:val="22"/>
          <w:szCs w:val="22"/>
          <w:highlight w:val="none"/>
        </w:rPr>
        <w:t>联系电话：</w:t>
      </w:r>
      <w:r>
        <w:rPr>
          <w:rFonts w:hint="eastAsia" w:ascii="Times New Roman" w:hAnsi="Times New Roman" w:eastAsia="仿宋_GB2312" w:cs="Times New Roman"/>
          <w:sz w:val="22"/>
          <w:szCs w:val="22"/>
          <w:highlight w:val="none"/>
          <w:lang w:val="en-US" w:eastAsia="zh-CN"/>
        </w:rPr>
        <w:t xml:space="preserve">13873083020 </w:t>
      </w:r>
      <w:r>
        <w:rPr>
          <w:rFonts w:hint="default" w:ascii="Times New Roman" w:hAnsi="Times New Roman" w:eastAsia="仿宋_GB2312" w:cs="Times New Roman"/>
          <w:sz w:val="22"/>
          <w:szCs w:val="22"/>
          <w:highlight w:val="none"/>
        </w:rPr>
        <w:t>单位负责人签字：</w:t>
      </w:r>
      <w:r>
        <w:rPr>
          <w:rFonts w:hint="eastAsia" w:ascii="Times New Roman" w:hAnsi="Times New Roman" w:eastAsia="仿宋_GB2312" w:cs="Times New Roman"/>
          <w:sz w:val="22"/>
          <w:highlight w:val="none"/>
          <w:lang w:val="en-US" w:eastAsia="zh-CN"/>
        </w:rPr>
        <w:t>黎朝晖</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system-ui">
    <w:altName w:val="宋体"/>
    <w:panose1 w:val="02010600030101010101"/>
    <w:charset w:val="86"/>
    <w:family w:val="auto"/>
    <w:pitch w:val="default"/>
    <w:sig w:usb0="00000000" w:usb1="00000000" w:usb2="0000000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62CEC"/>
    <w:multiLevelType w:val="singleLevel"/>
    <w:tmpl w:val="DFF62CEC"/>
    <w:lvl w:ilvl="0" w:tentative="0">
      <w:start w:val="2"/>
      <w:numFmt w:val="chineseCounting"/>
      <w:suff w:val="nothing"/>
      <w:lvlText w:val="（%1）"/>
      <w:lvlJc w:val="left"/>
      <w:rPr>
        <w:rFonts w:hint="eastAsia"/>
      </w:rPr>
    </w:lvl>
  </w:abstractNum>
  <w:abstractNum w:abstractNumId="1">
    <w:nsid w:val="37FA1A76"/>
    <w:multiLevelType w:val="singleLevel"/>
    <w:tmpl w:val="37FA1A76"/>
    <w:lvl w:ilvl="0" w:tentative="0">
      <w:start w:val="4"/>
      <w:numFmt w:val="chineseCounting"/>
      <w:suff w:val="nothing"/>
      <w:lvlText w:val="%1、"/>
      <w:lvlJc w:val="left"/>
      <w:rPr>
        <w:rFonts w:hint="eastAsia"/>
      </w:rPr>
    </w:lvl>
  </w:abstractNum>
  <w:abstractNum w:abstractNumId="2">
    <w:nsid w:val="509E872F"/>
    <w:multiLevelType w:val="singleLevel"/>
    <w:tmpl w:val="509E872F"/>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642FE"/>
    <w:rsid w:val="03F31506"/>
    <w:rsid w:val="05A0746B"/>
    <w:rsid w:val="08803234"/>
    <w:rsid w:val="098B0897"/>
    <w:rsid w:val="09A563F2"/>
    <w:rsid w:val="09EF5778"/>
    <w:rsid w:val="09FB37DB"/>
    <w:rsid w:val="0B04224A"/>
    <w:rsid w:val="0D0313DF"/>
    <w:rsid w:val="0EE65C3B"/>
    <w:rsid w:val="129946F9"/>
    <w:rsid w:val="12A938AB"/>
    <w:rsid w:val="133E3551"/>
    <w:rsid w:val="13632453"/>
    <w:rsid w:val="16091875"/>
    <w:rsid w:val="16177ED4"/>
    <w:rsid w:val="16692B3D"/>
    <w:rsid w:val="16B02316"/>
    <w:rsid w:val="17451D60"/>
    <w:rsid w:val="17E84862"/>
    <w:rsid w:val="18F54173"/>
    <w:rsid w:val="1C9C6887"/>
    <w:rsid w:val="20C04014"/>
    <w:rsid w:val="21E77FFB"/>
    <w:rsid w:val="27A24E6D"/>
    <w:rsid w:val="29010412"/>
    <w:rsid w:val="2A91023B"/>
    <w:rsid w:val="2B632818"/>
    <w:rsid w:val="2ED74268"/>
    <w:rsid w:val="2F640579"/>
    <w:rsid w:val="2F991803"/>
    <w:rsid w:val="31E129D7"/>
    <w:rsid w:val="326D2E9C"/>
    <w:rsid w:val="3A751726"/>
    <w:rsid w:val="3BD344A1"/>
    <w:rsid w:val="3C9115E7"/>
    <w:rsid w:val="3D792F01"/>
    <w:rsid w:val="40B976C8"/>
    <w:rsid w:val="41B1648B"/>
    <w:rsid w:val="44645D47"/>
    <w:rsid w:val="46EB00B4"/>
    <w:rsid w:val="477B47CD"/>
    <w:rsid w:val="48D12A65"/>
    <w:rsid w:val="49585544"/>
    <w:rsid w:val="4CF12322"/>
    <w:rsid w:val="504B187A"/>
    <w:rsid w:val="53460815"/>
    <w:rsid w:val="53927EB5"/>
    <w:rsid w:val="54010A76"/>
    <w:rsid w:val="57047C31"/>
    <w:rsid w:val="59B3124C"/>
    <w:rsid w:val="5BC86C44"/>
    <w:rsid w:val="5C1D3545"/>
    <w:rsid w:val="5DB8297E"/>
    <w:rsid w:val="5DE75040"/>
    <w:rsid w:val="5EBF5A32"/>
    <w:rsid w:val="5EEC4C9E"/>
    <w:rsid w:val="610B718C"/>
    <w:rsid w:val="6117168B"/>
    <w:rsid w:val="62403753"/>
    <w:rsid w:val="624E3B2B"/>
    <w:rsid w:val="64644D89"/>
    <w:rsid w:val="6491699C"/>
    <w:rsid w:val="694A7A33"/>
    <w:rsid w:val="6B2A668F"/>
    <w:rsid w:val="6D601FA8"/>
    <w:rsid w:val="6EE6068D"/>
    <w:rsid w:val="70A61026"/>
    <w:rsid w:val="70CD5EBD"/>
    <w:rsid w:val="73BE0B72"/>
    <w:rsid w:val="76213056"/>
    <w:rsid w:val="77952EE7"/>
    <w:rsid w:val="787B442C"/>
    <w:rsid w:val="7AD0531F"/>
    <w:rsid w:val="7C4D76D6"/>
    <w:rsid w:val="7F3107C0"/>
    <w:rsid w:val="7F61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Lines/>
      <w:spacing w:beforeLines="50" w:line="500" w:lineRule="atLeast"/>
      <w:outlineLvl w:val="3"/>
    </w:pPr>
    <w:rPr>
      <w:rFonts w:ascii="微软雅黑" w:hAnsi="微软雅黑" w:eastAsia="微软雅黑"/>
      <w:bCs/>
      <w:sz w:val="24"/>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Normal Indent"/>
    <w:basedOn w:val="1"/>
    <w:unhideWhenUsed/>
    <w:qFormat/>
    <w:uiPriority w:val="0"/>
    <w:pPr>
      <w:ind w:firstLine="420" w:firstLineChars="200"/>
    </w:pPr>
    <w:rPr>
      <w:rFonts w:hint="default"/>
      <w:sz w:val="21"/>
      <w:szCs w:val="24"/>
    </w:rPr>
  </w:style>
  <w:style w:type="paragraph" w:styleId="6">
    <w:name w:val="toa heading"/>
    <w:basedOn w:val="1"/>
    <w:next w:val="1"/>
    <w:qFormat/>
    <w:uiPriority w:val="99"/>
    <w:pPr>
      <w:spacing w:before="120" w:after="200" w:line="276" w:lineRule="auto"/>
    </w:pPr>
    <w:rPr>
      <w:rFonts w:ascii="Arial" w:hAnsi="Arial"/>
      <w:sz w:val="24"/>
    </w:rPr>
  </w:style>
  <w:style w:type="paragraph" w:styleId="7">
    <w:name w:val="Body Text"/>
    <w:basedOn w:val="1"/>
    <w:next w:val="8"/>
    <w:semiHidden/>
    <w:qFormat/>
    <w:uiPriority w:val="0"/>
    <w:rPr>
      <w:rFonts w:ascii="仿宋" w:hAnsi="仿宋" w:eastAsia="仿宋" w:cs="仿宋"/>
      <w:sz w:val="31"/>
      <w:szCs w:val="31"/>
      <w:lang w:val="en-US" w:eastAsia="en-US" w:bidi="ar-SA"/>
    </w:rPr>
  </w:style>
  <w:style w:type="paragraph" w:customStyle="1" w:styleId="8">
    <w:name w:val="正文首行缩进1"/>
    <w:basedOn w:val="1"/>
    <w:qFormat/>
    <w:uiPriority w:val="0"/>
    <w:pPr>
      <w:spacing w:after="120"/>
      <w:ind w:firstLine="420" w:firstLineChars="100"/>
    </w:pPr>
    <w:rPr>
      <w:rFonts w:ascii="Times New Roman" w:hAnsi="Times New Roman"/>
    </w:rPr>
  </w:style>
  <w:style w:type="paragraph" w:styleId="9">
    <w:name w:val="toc 5"/>
    <w:basedOn w:val="1"/>
    <w:next w:val="1"/>
    <w:qFormat/>
    <w:uiPriority w:val="99"/>
    <w:pPr>
      <w:widowControl w:val="0"/>
      <w:ind w:left="1680" w:leftChars="800"/>
      <w:jc w:val="both"/>
    </w:pPr>
    <w:rPr>
      <w:rFonts w:ascii="Times New Roman" w:hAnsi="Times New Roman" w:eastAsia="宋体" w:cs="Times New Roman"/>
      <w:kern w:val="2"/>
      <w:sz w:val="21"/>
      <w:szCs w:val="24"/>
      <w:lang w:val="en-US" w:eastAsia="zh-CN" w:bidi="ar-SA"/>
    </w:rPr>
  </w:style>
  <w:style w:type="paragraph" w:styleId="10">
    <w:name w:val="Body Text Indent 2"/>
    <w:basedOn w:val="1"/>
    <w:next w:val="1"/>
    <w:unhideWhenUsed/>
    <w:qFormat/>
    <w:uiPriority w:val="99"/>
    <w:pPr>
      <w:spacing w:after="120" w:line="480" w:lineRule="auto"/>
      <w:ind w:left="200" w:leftChars="200"/>
    </w:pPr>
    <w:rPr>
      <w:rFonts w:ascii="Times New Roman" w:hAnsi="Times New Roman" w:eastAsia="宋体" w:cs="Times New Roman"/>
    </w:rPr>
  </w:style>
  <w:style w:type="paragraph" w:styleId="11">
    <w:name w:val="footer"/>
    <w:basedOn w:val="1"/>
    <w:qFormat/>
    <w:uiPriority w:val="0"/>
    <w:pPr>
      <w:tabs>
        <w:tab w:val="center" w:pos="4153"/>
        <w:tab w:val="right" w:pos="8306"/>
      </w:tabs>
      <w:snapToGrid w:val="0"/>
      <w:jc w:val="left"/>
    </w:pPr>
    <w:rPr>
      <w:kern w:val="0"/>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rPr>
  </w:style>
  <w:style w:type="character" w:styleId="18">
    <w:name w:val="page number"/>
    <w:qFormat/>
    <w:uiPriority w:val="0"/>
  </w:style>
  <w:style w:type="paragraph" w:styleId="19">
    <w:name w:val="List Paragraph"/>
    <w:basedOn w:val="1"/>
    <w:qFormat/>
    <w:uiPriority w:val="99"/>
    <w:pPr>
      <w:ind w:firstLine="420" w:firstLineChars="200"/>
    </w:pPr>
    <w:rPr>
      <w:rFonts w:ascii="Calibri" w:hAnsi="Calibri"/>
      <w:szCs w:val="22"/>
    </w:rPr>
  </w:style>
  <w:style w:type="character" w:customStyle="1" w:styleId="20">
    <w:name w:val="font11"/>
    <w:qFormat/>
    <w:uiPriority w:val="0"/>
    <w:rPr>
      <w:rFonts w:hint="default"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2026-06-17T08:32:00Z</dcterms:created>
  <dc:creator>Administrator</dc:creator>
  <cp:lastModifiedBy>Administrator</cp:lastModifiedBy>
  <dcterms:modified xsi:type="dcterms:W3CDTF">2026-07-07T07:37:56Z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KSOTemplateDocerSaveRecord">
    <vt:lpwstr>eyJoZGlkIjoiM2Q0NzEwZTc1NWY1NDRiZTcyMmQ2OGI3ZDNmZjdjZDUiLCJ1c2VySWQiOiI1NDYxNDY5OTkifQ==</vt:lpwstr>
  </property>
  <property fmtid="{D5CDD505-2E9C-101B-9397-08002B2CF9AE}" pid="4" name="ICV">
    <vt:lpwstr>BFA4F202A41242029B8172A1676540DD_12</vt:lpwstr>
  </property>
</Properties>
</file>